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8C33FB" w:rsidRPr="007E7820" w:rsidP="00B31969">
      <w:pPr>
        <w:ind w:left="-426" w:right="-71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7E7820">
        <w:rPr>
          <w:rFonts w:ascii="Century Gothic" w:hAnsi="Century Gothic"/>
          <w:b/>
          <w:sz w:val="24"/>
          <w:szCs w:val="24"/>
          <w:u w:val="single"/>
        </w:rPr>
        <w:t>A Revolução Americana:</w:t>
      </w:r>
    </w:p>
    <w:p w:rsidR="0004134C" w:rsidP="00B31969">
      <w:pPr>
        <w:ind w:left="-426" w:right="-710"/>
        <w:rPr>
          <w:rFonts w:ascii="Century Gothic" w:hAnsi="Century Gothic"/>
          <w:b/>
          <w:sz w:val="24"/>
          <w:szCs w:val="24"/>
        </w:rPr>
      </w:pPr>
      <w:r w:rsidRPr="007E7820">
        <w:rPr>
          <w:rFonts w:ascii="Century Gothic" w:hAnsi="Century Gothic"/>
          <w:b/>
          <w:sz w:val="24"/>
          <w:szCs w:val="24"/>
        </w:rPr>
        <w:t>Países que possuíam territórios na América do Norte, em 1774:</w:t>
      </w:r>
    </w:p>
    <w:p w:rsidR="008C33FB" w:rsidRPr="003F29AB" w:rsidP="00B31969">
      <w:pPr>
        <w:ind w:left="-426" w:right="-710"/>
        <w:rPr>
          <w:rFonts w:ascii="Century Gothic" w:hAnsi="Century Gothic"/>
          <w:sz w:val="24"/>
          <w:szCs w:val="24"/>
        </w:rPr>
      </w:pPr>
      <w:r w:rsidRPr="003F29AB">
        <w:rPr>
          <w:rFonts w:ascii="Century Gothic" w:hAnsi="Century Gothic"/>
          <w:sz w:val="24"/>
          <w:szCs w:val="24"/>
        </w:rPr>
        <w:t xml:space="preserve"> França; Inglaterra; Espanha; Holanda…</w:t>
      </w:r>
    </w:p>
    <w:p w:rsidR="008C33FB" w:rsidRPr="007E7820" w:rsidP="00B31969">
      <w:pPr>
        <w:ind w:left="-426" w:right="-710"/>
        <w:rPr>
          <w:rFonts w:ascii="Century Gothic" w:hAnsi="Century Gothic"/>
          <w:b/>
          <w:sz w:val="24"/>
          <w:szCs w:val="24"/>
        </w:rPr>
      </w:pPr>
      <w:r w:rsidRPr="007E7820">
        <w:rPr>
          <w:rFonts w:ascii="Century Gothic" w:hAnsi="Century Gothic"/>
          <w:b/>
          <w:sz w:val="24"/>
          <w:szCs w:val="24"/>
        </w:rPr>
        <w:t>Motivos que conduziram os povos dos primeiros Estados independentes na América à revolta contra a Inglaterra:</w:t>
      </w:r>
    </w:p>
    <w:p w:rsidR="008C33FB" w:rsidRPr="003F29AB" w:rsidP="00B31969">
      <w:pPr>
        <w:ind w:left="-426" w:right="-710"/>
        <w:rPr>
          <w:rFonts w:ascii="Century Gothic" w:hAnsi="Century Gothic"/>
          <w:sz w:val="24"/>
          <w:szCs w:val="24"/>
        </w:rPr>
      </w:pPr>
      <w:r w:rsidRPr="003F29AB">
        <w:rPr>
          <w:rFonts w:ascii="Century Gothic" w:hAnsi="Century Gothic"/>
          <w:sz w:val="24"/>
          <w:szCs w:val="24"/>
        </w:rPr>
        <w:t>Os conflitos entre as colónias americanas e a Inglaterra intensificaram-se após a guerra dos 7 anos, uma vez que o governo inglês na tentativa de recuperar as suas finanças tomou um conjunto de medidas que provocaram um sentimento de revolta entre as colónias. Entre essas medidas está o aumento dos impostos sobre o selo (que levou a que em alguns jornais estivesse presente uma caveira, que substituía a símbolo de imposto de selo. Como geralmente a caveira está associada à morte os editores dos jornais pretendiam criticar o lançamento de mais um imposto por parte da Inglaterra sobre as colónias americanas), o chá, o açúcar, vidro, chumbo, papel e outros produtos coloniais. As colónias inglesas foram ainda obrigadas a suportar despesas militares da Inglaterra na América e viram recusado o pedido de representantes no parlamento britânico. Estes motivos de descontentamento aliados à difusão das ideias iluministas e liberalistas, iram contribuir para o crescimento do sentimento de revolta entre os colonos americanos.</w:t>
      </w:r>
    </w:p>
    <w:p w:rsidR="003F29AB" w:rsidRPr="007E7820" w:rsidP="00B31969">
      <w:pPr>
        <w:ind w:left="-426" w:right="-710"/>
        <w:rPr>
          <w:rFonts w:ascii="Century Gothic" w:hAnsi="Century Gothic"/>
          <w:b/>
          <w:sz w:val="24"/>
          <w:szCs w:val="24"/>
        </w:rPr>
      </w:pPr>
      <w:r w:rsidRPr="007E7820">
        <w:rPr>
          <w:rFonts w:ascii="Century Gothic" w:hAnsi="Century Gothic"/>
          <w:b/>
          <w:sz w:val="24"/>
          <w:szCs w:val="24"/>
        </w:rPr>
        <w:t>Acontecimentos referentes ao processo revolucionário americano:</w:t>
      </w:r>
    </w:p>
    <w:p w:rsidR="003F29AB" w:rsidP="00B31969">
      <w:pPr>
        <w:ind w:left="-426" w:right="-710"/>
        <w:rPr>
          <w:rFonts w:ascii="Century Gothic" w:hAnsi="Century Gothic"/>
          <w:sz w:val="24"/>
          <w:szCs w:val="24"/>
        </w:rPr>
      </w:pPr>
      <w:r w:rsidRPr="003F29AB">
        <w:rPr>
          <w:rFonts w:ascii="Century Gothic" w:hAnsi="Century Gothic"/>
          <w:sz w:val="24"/>
          <w:szCs w:val="24"/>
        </w:rPr>
        <w:t>O conflito crescente entre as colónias americanas e as autoridades inglesas. Os colonos americanos recusavam-se a aceitar o pagamento de mais impostos e em 1770 na cidade de Boston deu-se um dos primeiros incidentes antes da revolução. Um grupo de colonos que se manifestava contra o pagamento de impostos foi recebido a tiro pelas tropas militares inglesas (Massacre de Boston). O “Boston Tea Party” foi uma revolta contra o imposto britânico sobre o chá em que os colonos americanos disfarçados de índios lançaram ao mar a carga de chá de vários navios ingleses. Estes dois acontecimentos levaram a que, como forma de represália, os ingleses lançassem as chamadas leis intoleráveis, que provocaram o corte definitivo das relações com a Inglaterra e deram inicio ao movimento revolucionário americano.</w:t>
      </w:r>
    </w:p>
    <w:p w:rsidR="007E7820" w:rsidRPr="0004134C" w:rsidP="00B31969">
      <w:pPr>
        <w:ind w:left="-426" w:right="-710"/>
        <w:rPr>
          <w:rFonts w:ascii="Century Gothic" w:hAnsi="Century Gothic"/>
          <w:b/>
          <w:sz w:val="24"/>
          <w:szCs w:val="24"/>
        </w:rPr>
      </w:pPr>
      <w:r w:rsidRPr="0004134C">
        <w:rPr>
          <w:rFonts w:ascii="Century Gothic" w:hAnsi="Century Gothic"/>
          <w:b/>
          <w:sz w:val="24"/>
          <w:szCs w:val="24"/>
        </w:rPr>
        <w:t>Princípios ideológicos que nortearam os políticos da revolução americana de 1776:</w:t>
      </w:r>
    </w:p>
    <w:p w:rsidR="007E7820" w:rsidP="00B31969">
      <w:pPr>
        <w:ind w:left="-426" w:right="-71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 declaração de independência americana de 1776 reafirmaram-se dois princípios fundamentais do movimento iluminista: o princípio da igualdade, todos os homens nascem iguais e com um conjunto de direitos inalienáveis, o direito à vida, à liberdade e à felicidade; o princípio da soberania popular , ou seja o poder reside no povo e como tal os governos só são legítimos, quando mandatados pelo povo.</w:t>
      </w:r>
    </w:p>
    <w:p w:rsidR="007E7820" w:rsidRPr="0004134C" w:rsidP="00B31969">
      <w:pPr>
        <w:ind w:left="-426" w:right="-710"/>
        <w:rPr>
          <w:rFonts w:ascii="Century Gothic" w:hAnsi="Century Gothic"/>
          <w:b/>
          <w:sz w:val="24"/>
          <w:szCs w:val="24"/>
        </w:rPr>
      </w:pPr>
      <w:r w:rsidRPr="0004134C">
        <w:rPr>
          <w:rFonts w:ascii="Century Gothic" w:hAnsi="Century Gothic"/>
          <w:b/>
          <w:sz w:val="24"/>
          <w:szCs w:val="24"/>
        </w:rPr>
        <w:t>De que forma o regime político adotado pelo Estado Americano, após a revolução é coerente com os princípios defendidos na Declaração da Independência:</w:t>
      </w:r>
    </w:p>
    <w:p w:rsidR="007E7820" w:rsidP="00B31969">
      <w:pPr>
        <w:ind w:left="-426" w:right="-71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É coerente, no sentido em que a aplicação dos princípios iluministas deu origem à criação de uma republica federal, associado de forma livre todos os Estados americanos. Deste modo, através da constituição definiram-se os direitos e os deveres essenciais de todos os cidadãos. No entanto o princípio da igualdade e da soberania popular nem sempre foi respeitado, porque a escravatura era legal e o direito de voto não era extensível a todos os cidadãos.</w:t>
      </w:r>
    </w:p>
    <w:p w:rsidR="0004134C" w:rsidP="00B31969">
      <w:pPr>
        <w:ind w:left="-426" w:right="-71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A Revolução Francesa:</w:t>
      </w:r>
    </w:p>
    <w:p w:rsidR="0004134C" w:rsidRPr="003336C7" w:rsidP="00B31969">
      <w:pPr>
        <w:ind w:left="-426" w:right="-710"/>
        <w:rPr>
          <w:rFonts w:ascii="Century Gothic" w:hAnsi="Century Gothic"/>
          <w:b/>
          <w:sz w:val="24"/>
          <w:szCs w:val="24"/>
        </w:rPr>
      </w:pPr>
      <w:r w:rsidRPr="003336C7">
        <w:rPr>
          <w:rFonts w:ascii="Century Gothic" w:hAnsi="Century Gothic"/>
          <w:b/>
          <w:sz w:val="24"/>
          <w:szCs w:val="24"/>
        </w:rPr>
        <w:t>Causas da crise económica vivida, em França, entre 1770 e 1790:</w:t>
      </w:r>
    </w:p>
    <w:p w:rsidR="007E7820" w:rsidP="00B31969">
      <w:pPr>
        <w:ind w:left="-426" w:right="-71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3336C7">
        <w:rPr>
          <w:rFonts w:ascii="Century Gothic" w:hAnsi="Century Gothic"/>
          <w:sz w:val="24"/>
          <w:szCs w:val="24"/>
          <w:u w:val="single"/>
        </w:rPr>
        <w:t>Os maus anos agrícolas</w:t>
      </w:r>
      <w:r>
        <w:rPr>
          <w:rFonts w:ascii="Century Gothic" w:hAnsi="Century Gothic"/>
          <w:sz w:val="24"/>
          <w:szCs w:val="24"/>
        </w:rPr>
        <w:t>: Originaram uma profunda crise cerealífera, uma crise na produção de vinhos e na criação de gado.</w:t>
      </w:r>
    </w:p>
    <w:p w:rsidR="00B31969" w:rsidP="00B31969">
      <w:pPr>
        <w:ind w:left="-426" w:right="-71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3336C7">
        <w:rPr>
          <w:rFonts w:ascii="Century Gothic" w:hAnsi="Century Gothic"/>
          <w:sz w:val="24"/>
          <w:szCs w:val="24"/>
          <w:u w:val="single"/>
        </w:rPr>
        <w:t>A crise comercial e industrial</w:t>
      </w:r>
      <w:r>
        <w:rPr>
          <w:rFonts w:ascii="Century Gothic" w:hAnsi="Century Gothic"/>
          <w:sz w:val="24"/>
          <w:szCs w:val="24"/>
        </w:rPr>
        <w:t>: Deve-se às guerras com Inglaterra, que fizeram com que a França perde-se muitos das suas colónias na América e até no Oriente (Ásia). Este facto irá originar uma diminuição do comércio externo e consequente contribuir para tornar a balança comercial francesa deficitária. Por outro lado industria francesa foi afetada por esta crise comercial e registava um grande atraso nos processos de organização do trabalho e de mecanização levando à falência muitas fábricas e aumento do desemprego.</w:t>
      </w:r>
    </w:p>
    <w:p w:rsidR="003336C7" w:rsidP="00B31969">
      <w:pPr>
        <w:ind w:left="-426" w:right="-71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3336C7">
        <w:rPr>
          <w:rFonts w:ascii="Century Gothic" w:hAnsi="Century Gothic"/>
          <w:sz w:val="24"/>
          <w:szCs w:val="24"/>
          <w:u w:val="single"/>
        </w:rPr>
        <w:t>A crise financeira</w:t>
      </w:r>
      <w:r w:rsidR="00B31969">
        <w:rPr>
          <w:rFonts w:ascii="Century Gothic" w:hAnsi="Century Gothic"/>
          <w:sz w:val="24"/>
          <w:szCs w:val="24"/>
        </w:rPr>
        <w:t xml:space="preserve">: Devido aos elevados gastos da corte francesa e às despesas de guerra, o orçamento de estado era deficitário, originando o aumento da dívida pública e a insolvência financeira. – </w:t>
      </w:r>
      <w:r w:rsidRPr="00265FF0" w:rsidR="00265FF0">
        <w:rPr>
          <w:rFonts w:ascii="Century Gothic" w:hAnsi="Century Gothic"/>
          <w:b/>
          <w:sz w:val="24"/>
          <w:szCs w:val="24"/>
        </w:rPr>
        <w:t>Défice orçamental</w:t>
      </w:r>
      <w:r w:rsidR="00265FF0">
        <w:rPr>
          <w:rFonts w:ascii="Century Gothic" w:hAnsi="Century Gothic"/>
          <w:sz w:val="24"/>
          <w:szCs w:val="24"/>
        </w:rPr>
        <w:t>: as receitas do estado francês estavam um pouco acima dos 400 milhões de libras enquanto as despesas era muito superiores, 600 milhões, o que foi agravar ainda mais o défice orçamental e a divida de estado.</w:t>
      </w:r>
    </w:p>
    <w:p w:rsidR="00265FF0" w:rsidRPr="00265FF0" w:rsidP="00B31969">
      <w:pPr>
        <w:ind w:left="-426" w:right="-710"/>
        <w:rPr>
          <w:rFonts w:ascii="Century Gothic" w:hAnsi="Century Gothic"/>
          <w:b/>
          <w:sz w:val="24"/>
          <w:szCs w:val="24"/>
        </w:rPr>
      </w:pPr>
      <w:r w:rsidRPr="00265FF0">
        <w:rPr>
          <w:rFonts w:ascii="Century Gothic" w:hAnsi="Century Gothic"/>
          <w:b/>
          <w:sz w:val="24"/>
          <w:szCs w:val="24"/>
        </w:rPr>
        <w:t>Principais queixas do povo francês na segunda metade do século XVIII:</w:t>
      </w:r>
    </w:p>
    <w:p w:rsidR="00F03A32" w:rsidP="00F03A32">
      <w:pPr>
        <w:ind w:left="-426" w:right="-71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 povo constituía cerca de 90 % de população francesa e estava sobrecarregado de impostos, vivia em condições miseráveis, não tinha direitos políticos, etc. O povo queixava-se também das ordens privilegiadas não serem produtivas, de estarem praticamente isentas de contribuições para o estado, de sobrecarregarem o povo com taxas, impostos, rendas e de ocuparem os principais cargos políticos e administrativos do país.</w:t>
      </w:r>
    </w:p>
    <w:p w:rsidR="00265FF0" w:rsidRPr="00F03A32" w:rsidP="00F03A32">
      <w:pPr>
        <w:ind w:left="-426" w:right="-710"/>
        <w:rPr>
          <w:rFonts w:ascii="Century Gothic" w:hAnsi="Century Gothic"/>
          <w:sz w:val="24"/>
          <w:szCs w:val="24"/>
        </w:rPr>
      </w:pPr>
      <w:r w:rsidRPr="00265FF0">
        <w:rPr>
          <w:rFonts w:ascii="Century Gothic" w:hAnsi="Century Gothic"/>
          <w:b/>
          <w:sz w:val="24"/>
          <w:szCs w:val="24"/>
        </w:rPr>
        <w:t>Principais queixas da burguesia francesa na segunda metade do século XVIII:</w:t>
      </w:r>
    </w:p>
    <w:p w:rsidR="00265FF0" w:rsidP="00F03A32">
      <w:pPr>
        <w:ind w:left="-426" w:right="-71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burguesia queixava-se de que, apesar do grande contributo económico, político e cultural que proporcionava ao estado francês, não possuía um estatuto jurídico semelhante à nobreza e ao clero e também dos entraves aos seus negócios por parte do rei e da nobreza.</w:t>
      </w:r>
    </w:p>
    <w:p w:rsidR="007E7820" w:rsidRPr="008A5C3F" w:rsidP="0004134C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8A5C3F">
        <w:rPr>
          <w:rFonts w:ascii="Century Gothic" w:hAnsi="Century Gothic"/>
          <w:b/>
          <w:sz w:val="24"/>
          <w:szCs w:val="24"/>
        </w:rPr>
        <w:t>Justificações dadas pelo rei quando convocou os Estados Gerais:</w:t>
      </w:r>
    </w:p>
    <w:p w:rsidR="008A5C3F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crise económica e financeira vivida no reinado de Luís XVI (instabilidade dos preços, diminuição dos salários, aumento do desemprego, aumento da mendicidade e da marginalidade…) conduziu a um agravamento das tensões sociais deste modo o rei e o seu governo entenderam que era necessário o lançamento de um novo imposto, aplicado em condições de igualdade a todos os grupos sociais e que recaísse sobre os rendimentos fundiários. O rei sabia que a aplicação deste imposto originaria descontentamento por parte das ordens privilegiadas como tal entendeu que seria necessário ouvir as sugestões dos diversos grupos sociais e convocou os Estados Gerais.</w:t>
      </w:r>
    </w:p>
    <w:p w:rsidR="007D3CA0" w:rsidRPr="007D3CA0" w:rsidP="0004134C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7D3CA0">
        <w:rPr>
          <w:rFonts w:ascii="Century Gothic" w:hAnsi="Century Gothic"/>
          <w:b/>
          <w:sz w:val="24"/>
          <w:szCs w:val="24"/>
        </w:rPr>
        <w:t>Posição tida pela nobreza perante os Estados Gerais:</w:t>
      </w:r>
    </w:p>
    <w:p w:rsidR="007D3CA0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nobreza, tal como o clero, manifestava uma forte oposição às medidas que o governo do rei Luís XVI pretendia aprovar (lançamento do imposto de subvenção territorial, perda de privilégios) e desta forma opunham-se a qualquer medida que implicasse perda de privilégios. Esta posição da nobreza irá causar uma grave crise política e conduzirá ao início da revolução francesa.</w:t>
      </w:r>
    </w:p>
    <w:p w:rsidR="007D3CA0" w:rsidRPr="007D3CA0" w:rsidP="0004134C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7D3CA0">
        <w:rPr>
          <w:rFonts w:ascii="Century Gothic" w:hAnsi="Century Gothic"/>
          <w:b/>
          <w:sz w:val="24"/>
          <w:szCs w:val="24"/>
        </w:rPr>
        <w:t>Importância do decreto para as transformações sociais ocorridas em França com a Revolução de 1789:</w:t>
      </w:r>
    </w:p>
    <w:p w:rsidR="00F03A32" w:rsidP="00F03A32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 decreto contribuir de forma decisiva para a desagregação do antigo regime em França. Essas medidas determinaram igualdade fiscal entre as ordens sociais, a anulação de todos os direitos feudais e privilégios senhoriais, a extinção da dízima eclesiástica. Está assim presente a ideia de igualdade social, que é uma ideia revolucionária e com consequências extraordinárias para a sociedade francesa.</w:t>
      </w:r>
    </w:p>
    <w:p w:rsidR="00C56703" w:rsidRPr="00F03A32" w:rsidP="00F03A32">
      <w:pPr>
        <w:ind w:left="-426" w:right="-285"/>
        <w:rPr>
          <w:rFonts w:ascii="Century Gothic" w:hAnsi="Century Gothic"/>
          <w:sz w:val="24"/>
          <w:szCs w:val="24"/>
        </w:rPr>
      </w:pPr>
      <w:r w:rsidRPr="00F03A32">
        <w:rPr>
          <w:rFonts w:ascii="Century Gothic" w:hAnsi="Century Gothic"/>
          <w:b/>
          <w:sz w:val="24"/>
          <w:szCs w:val="24"/>
        </w:rPr>
        <w:t>Declaração dos Direitos do Homem e do Cidadão (1789) e Constituição de 1791:</w:t>
      </w:r>
    </w:p>
    <w:p w:rsidR="00F03A32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declaração instituiu em França uma nova ordem social e política, baseada nos direitos individuais e na liberdade de uma das suas ideias chave e de que “todos os homens nascem e permanecem livres e iguais em direitos”. A constituição tem presente duas ideias fundamentais: a ideia de </w:t>
      </w:r>
      <w:r w:rsidRPr="00F03A32">
        <w:rPr>
          <w:rFonts w:ascii="Century Gothic" w:hAnsi="Century Gothic"/>
          <w:sz w:val="24"/>
          <w:szCs w:val="24"/>
          <w:u w:val="single"/>
        </w:rPr>
        <w:t>liberdade</w:t>
      </w:r>
      <w:r>
        <w:rPr>
          <w:rFonts w:ascii="Century Gothic" w:hAnsi="Century Gothic"/>
          <w:sz w:val="24"/>
          <w:szCs w:val="24"/>
        </w:rPr>
        <w:t xml:space="preserve"> (opinião, associação, propriedade...) e a ideia de </w:t>
      </w:r>
      <w:r w:rsidRPr="00F03A32">
        <w:rPr>
          <w:rFonts w:ascii="Century Gothic" w:hAnsi="Century Gothic"/>
          <w:sz w:val="24"/>
          <w:szCs w:val="24"/>
          <w:u w:val="single"/>
        </w:rPr>
        <w:t>igualdade</w:t>
      </w:r>
      <w:r>
        <w:rPr>
          <w:rFonts w:ascii="Century Gothic" w:hAnsi="Century Gothic"/>
          <w:sz w:val="24"/>
          <w:szCs w:val="24"/>
        </w:rPr>
        <w:t>. A declaração significou o fim da sociedade de ordens e proclamou uma nova ordem política: o liberalismo, uma vez que defendia que o poder da nação residia no povo e que o rei era apenas o seu mandatário. Deste modo consagra-se o princípio da separação dos poderes. A constituição de 1791 era um documento mais moderado que procurava estabelecer um compromisso entre os interesses do rei, das ordens privilegiadas com a nova ordem política e social. Em termos políticos cria-se a monarquia constitucional, em que a separação dos poderes e o primado da lei sobre todos os órgãos políticos estão consagrados. No entanto o direito de voto estava limitado aos que pagassem um determinado imposto (voto censitário), deste modo a soberania nacional só era exercida por uma minoria da população. Assim a constituição, apesar de acabar com a sociedade de ordens e defender a igualdade social e política, beneficiou a burguesia que passa a ter acesso aos cargos políticos e administrativos. A maioria do povo só se conseguiu libertar de muitas das imposições senhoriais através do pagamento de quantias avultadas em dinheiro. Só após a morte do rei foram abolidos todos os vestígios do regime feudal.</w:t>
      </w:r>
    </w:p>
    <w:p w:rsidR="004B0803" w:rsidRPr="000E2289" w:rsidP="0004134C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0E2289">
        <w:rPr>
          <w:rFonts w:ascii="Century Gothic" w:hAnsi="Century Gothic"/>
          <w:b/>
          <w:sz w:val="24"/>
          <w:szCs w:val="24"/>
        </w:rPr>
        <w:t>O fim da monarquia constitucional e a implantação do Governo republicano da Convenção:</w:t>
      </w:r>
    </w:p>
    <w:p w:rsidR="000E2289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Os jacobinos criticavam aqueles que continuavam a apoiar o réu Luís XVI, não só a nobreza e o clero mas também os elementos da burguesia que se aproveitaram do povo para chegar ao poder, mas que depois oprimiam as classes mais baixas da sociedade. Esta situação aumentou o descontentamento social que se vivia em França agravou as tensões políticas e ideológicas, a crise económica e financeira acentuou-se originando revoltas e violência. A França encontrava-se assim à beira de uma guerra civil e ao mesmo tempo sentia-se a ameaça de uma invasão externa por parte das potências absolutistas europeias. Nesta conjuntura perante a inação do rei, a quem o povo acusava de estar a conspirar contra a revolução que se irá dar um golpe de estado que irá decretar a prisão da família real, dissolver a assembleia legislativa constituinte (convenção nacional) encarregada de criar uma nova constituição e um novo regime político: </w:t>
      </w:r>
      <w:r w:rsidRPr="000E2289">
        <w:rPr>
          <w:rFonts w:ascii="Century Gothic" w:hAnsi="Century Gothic"/>
          <w:sz w:val="24"/>
          <w:szCs w:val="24"/>
          <w:u w:val="single"/>
        </w:rPr>
        <w:t>a república</w:t>
      </w:r>
      <w:r>
        <w:rPr>
          <w:rFonts w:ascii="Century Gothic" w:hAnsi="Century Gothic"/>
          <w:sz w:val="24"/>
          <w:szCs w:val="24"/>
        </w:rPr>
        <w:t>.</w:t>
      </w:r>
    </w:p>
    <w:p w:rsidR="000E2289" w:rsidRPr="000E2289" w:rsidP="0004134C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0E2289">
        <w:rPr>
          <w:rFonts w:ascii="Century Gothic" w:hAnsi="Century Gothic"/>
          <w:b/>
          <w:sz w:val="24"/>
          <w:szCs w:val="24"/>
        </w:rPr>
        <w:t>Linhas de força do governo de Convenção:</w:t>
      </w:r>
    </w:p>
    <w:p w:rsidR="000E2289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 governo de convenção englobou partidários de vários grupos políticos, sendo no entanto constituído maioritariamente por elementos da pequena burguesia. A convenção defendia uma ação radical e violenta contra todos os que se opunham às suas medidas. Durante este período tomaram-se várias medidas:</w:t>
      </w:r>
    </w:p>
    <w:p w:rsidR="009357CF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recrutamento militar obrigatório;</w:t>
      </w:r>
    </w:p>
    <w:p w:rsidR="009357CF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Empréstimo forçado por parte dos mais ricos;</w:t>
      </w:r>
    </w:p>
    <w:p w:rsidR="009357CF" w:rsidP="0004134C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Criação da “Lei dos Suspeitos”;</w:t>
      </w:r>
    </w:p>
    <w:p w:rsidR="009357C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Repressão dos movimentos contra revolucionários;</w:t>
      </w:r>
    </w:p>
    <w:p w:rsidR="009357C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Criação da “lei do Máximo”.</w:t>
      </w:r>
    </w:p>
    <w:p w:rsidR="009357CF" w:rsidP="009357CF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9357CF">
        <w:rPr>
          <w:rFonts w:ascii="Century Gothic" w:hAnsi="Century Gothic"/>
          <w:b/>
          <w:sz w:val="24"/>
          <w:szCs w:val="24"/>
        </w:rPr>
        <w:t>O Terror desta época:</w:t>
      </w:r>
    </w:p>
    <w:p w:rsidR="009357C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Este período corresponde ao segundo governo da convenção, de maioria jacobina e que defendia a ação revolucionária violenta e organizada contra os grupos privilegiados. Esta época foi liderada por Robespierre, que instalou um governo centralizado e que adotou medidas radicais e violentas que incluíam a perseguição e execução de tais adversários políticos.</w:t>
      </w:r>
    </w:p>
    <w:p w:rsidR="009357CF" w:rsidRPr="001368B6" w:rsidP="009357CF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1368B6">
        <w:rPr>
          <w:rFonts w:ascii="Century Gothic" w:hAnsi="Century Gothic"/>
          <w:b/>
          <w:sz w:val="24"/>
          <w:szCs w:val="24"/>
        </w:rPr>
        <w:t>Justificação da promulgação da “Lei do Máximo” pelo governo da Convenção:</w:t>
      </w:r>
    </w:p>
    <w:p w:rsidR="009357C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Esta lei foi promulgada com objetivo de proteger os mais desfavorecidos, tabelando os preços dos bens de primeira necessidade. Seguiu numa conjuntura de instabilidade política e social em que os produtores e os intermediários aproveitavam para aumentar os preços desses bens. Esta medida juntamente com outras como a uniformização dos preços e medidas, a regularização e fiscalização económica, a repartição dos impostos e outras medidas de caráter social transformaram-se num exemplo e numa inspiração para outros governos democráticos.</w:t>
      </w:r>
    </w:p>
    <w:p w:rsidR="00FC3E2F" w:rsidRPr="00FC3E2F" w:rsidP="009357CF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FC3E2F">
        <w:rPr>
          <w:rFonts w:ascii="Century Gothic" w:hAnsi="Century Gothic"/>
          <w:b/>
          <w:sz w:val="24"/>
          <w:szCs w:val="24"/>
        </w:rPr>
        <w:t>Situação económica francesa a partir do 9 do Termidor de 1794:</w:t>
      </w:r>
    </w:p>
    <w:p w:rsidR="00FC3E2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Nesta data deu-se um golpe de Estado que pôs fim ao governo da Convenção (período do terror) que tinha posto em prática uma política radical e violenta, que tinha conduzido à morte de milhares franceses.</w:t>
      </w:r>
    </w:p>
    <w:p w:rsidR="00FC3E2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Neste período a situação de crise económica e financeira agravou-se ainda mais. A produção agrícola era insuficiente para a procura que se fazia sentir; o comércio externo decaíra; os preços subiram após a abolição da “lei do Máximo” e deste modo os bens essenciais não eram acessíveis às classes populares mais humildes, originando revoltas e manifestações de descontentamento perante os governos do diretório.</w:t>
      </w:r>
    </w:p>
    <w:p w:rsidR="00FC3E2F" w:rsidRPr="00FC3E2F" w:rsidP="009357CF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FC3E2F">
        <w:rPr>
          <w:rFonts w:ascii="Century Gothic" w:hAnsi="Century Gothic"/>
          <w:b/>
          <w:sz w:val="24"/>
          <w:szCs w:val="24"/>
        </w:rPr>
        <w:t>Mudanças políticas a partir do 9 do Termidor de 1794:</w:t>
      </w:r>
    </w:p>
    <w:p w:rsidR="00EF21C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termos políticos manteve-se o regime republicano, mas suprimiu-se o sufrágio universal, através da adoção do voto censitário; o poder legislativo foi entregue a dois novos órgãos; o executivo passou a ser exercido por um </w:t>
      </w:r>
      <w:r w:rsidRPr="00EF21CF">
        <w:rPr>
          <w:rFonts w:ascii="Century Gothic" w:hAnsi="Century Gothic"/>
          <w:sz w:val="24"/>
          <w:szCs w:val="24"/>
          <w:u w:val="single"/>
        </w:rPr>
        <w:t>Diretório</w:t>
      </w:r>
      <w:r>
        <w:rPr>
          <w:rFonts w:ascii="Century Gothic" w:hAnsi="Century Gothic"/>
          <w:sz w:val="24"/>
          <w:szCs w:val="24"/>
        </w:rPr>
        <w:t xml:space="preserve"> constituído por cinco membros que nomeavam os ministros, chefiavam o exército, dirigiam a administração e diplomacia.</w:t>
      </w:r>
    </w:p>
    <w:p w:rsidR="00FC3E2F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Entre outras medidas pode-se salientar a elaboração de uma nova constituição mais conservadora e burguesa que irá limitar os direitos de liberdade e igualdade, decretar a separação entre a igreja e o Estado criando um Estado laico.</w:t>
      </w:r>
    </w:p>
    <w:p w:rsidR="00061612" w:rsidRPr="00061612" w:rsidP="009357CF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061612">
        <w:rPr>
          <w:rFonts w:ascii="Century Gothic" w:hAnsi="Century Gothic"/>
          <w:b/>
          <w:sz w:val="24"/>
          <w:szCs w:val="24"/>
        </w:rPr>
        <w:t>O final do Diretório:</w:t>
      </w:r>
    </w:p>
    <w:p w:rsidR="00061612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França no final do período do diretório continuava numa situação extraordinariamente difícil. Os sucessivos governos eram incapazes de resolver a crise económica e financeira que o país atravessava vivendo num caos interno. As manifestações e revoltas eram permanentes e obrigavam ao recurso do exército para manter a ordem pública, reprimir as revoltas e controlar os adversários políticos.</w:t>
      </w:r>
    </w:p>
    <w:p w:rsidR="00061612" w:rsidRPr="00061612" w:rsidP="009357CF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061612">
        <w:rPr>
          <w:rFonts w:ascii="Century Gothic" w:hAnsi="Century Gothic"/>
          <w:b/>
          <w:sz w:val="24"/>
          <w:szCs w:val="24"/>
        </w:rPr>
        <w:t>A rápida ascensão política do general Napoleão Bonaparte:</w:t>
      </w:r>
    </w:p>
    <w:p w:rsidR="00061612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Napoleão era um general com grande prestígio devido às inúmeras batalhas que tinha vencido. Em 1799, quando a França era ameaçada por invasões externas e o governo do Diretório tinha levado a um impasse negativo, Napoleão irá liderar um golpe de estado que porá fim ao Diretório e dará origem ao governo do Consulado. Este governo era constituído por 3 cônsules e Napoleão foi adquirindo um poder cada vez maior, uma vez que devido à sua ação conseguiu a pacificação interna; a paz com a igreja, através da elaboração de uma concordata; assegurou a paz externa através da assinatura de acordos com a Áustria e a Inglaterra; criou um novo código civil; reformou o sistema fiscal e monetário e fundou o primeiro banco de França.</w:t>
      </w:r>
    </w:p>
    <w:p w:rsidR="00E3094B" w:rsidRPr="00E3094B" w:rsidP="009357CF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E3094B">
        <w:rPr>
          <w:rFonts w:ascii="Century Gothic" w:hAnsi="Century Gothic"/>
          <w:b/>
          <w:sz w:val="24"/>
          <w:szCs w:val="24"/>
        </w:rPr>
        <w:t>“Em maio de 1804, um novo plebiscito transformava o cônsul napoleão um imperador hereditário. A Revolução chegara ao fim!”</w:t>
      </w:r>
    </w:p>
    <w:p w:rsidR="00E3094B" w:rsidP="009357CF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Esta frase pretende salientar que a chegada de Napoleão ao poder pôs fim à instabilidade política, social e económica que se vivia após a Revolução Francesa. Ao mesmo tempo Napoleão conseguiu, graças à popularidade que tinha tornar-se imperador pondo fim à república. A primeira república francesa terminava assim em 1804 e só seria restabelecida, embora de forma provisória em 1848.</w:t>
      </w:r>
    </w:p>
    <w:p w:rsidR="00241EDA" w:rsidRPr="00241EDA" w:rsidP="00241EDA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241EDA">
        <w:rPr>
          <w:rFonts w:ascii="Century Gothic" w:hAnsi="Century Gothic"/>
          <w:b/>
          <w:sz w:val="24"/>
          <w:szCs w:val="24"/>
        </w:rPr>
        <w:t>Principais focos revolucionários entre os finais do século XVIII e meados do século XIX:</w:t>
      </w:r>
    </w:p>
    <w:p w:rsidR="00241EDA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Portugal, Grécia, Espanha, França, Bélgica.</w:t>
      </w:r>
    </w:p>
    <w:p w:rsidR="00241EDA" w:rsidRPr="00F85487" w:rsidP="00241EDA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F85487">
        <w:rPr>
          <w:rFonts w:ascii="Century Gothic" w:hAnsi="Century Gothic"/>
          <w:b/>
          <w:sz w:val="24"/>
          <w:szCs w:val="24"/>
        </w:rPr>
        <w:t>Principais motivos que conduziram às revoluções liberais:</w:t>
      </w:r>
    </w:p>
    <w:p w:rsidR="00241EDA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As revoluções francesas e americanas, que defendiam os ideais de igualdade, liberdade e fraternidade, despertou nos povos que viviam sob regimes autoritários, a esperança de liberdade e autodeterminação.</w:t>
      </w:r>
    </w:p>
    <w:p w:rsidR="00241EDA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Surgiram as forças políticas que defendiam o fim de regimes autoritários e absolutistas e no caso das colónias defendiam a independência. Em ambos os casos pretendia-se estabelecer regimes liberais e democráticos.</w:t>
      </w:r>
    </w:p>
    <w:p w:rsidR="00241EDA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-As decisões do congresso de Viena tomadas pelas potências absolutistas da Europa que definiram artificialmente as fronteiras de vários países na Europa, impedindo a afirmação destes movimentos independentistas.</w:t>
      </w:r>
    </w:p>
    <w:p w:rsidR="00241EDA" w:rsidRPr="00241EDA" w:rsidP="00241EDA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241EDA">
        <w:rPr>
          <w:rFonts w:ascii="Century Gothic" w:hAnsi="Century Gothic"/>
          <w:b/>
          <w:sz w:val="24"/>
          <w:szCs w:val="24"/>
        </w:rPr>
        <w:t>Movimentos autonomistas:</w:t>
      </w:r>
    </w:p>
    <w:p w:rsidR="00241EDA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Movimentos que defendiam uma maior concessão do poder por parte dos governos nacionais a favor dos governos locais ou regionais. Estas concessões poderiam ser políticas, económicas e fiscais. (Exemplo: caso americano e espanhol)</w:t>
      </w:r>
    </w:p>
    <w:p w:rsidR="00241EDA" w:rsidRPr="00241EDA" w:rsidP="00241EDA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241EDA">
        <w:rPr>
          <w:rFonts w:ascii="Century Gothic" w:hAnsi="Century Gothic"/>
          <w:b/>
          <w:sz w:val="24"/>
          <w:szCs w:val="24"/>
        </w:rPr>
        <w:t>Princípio das nacionalidades:</w:t>
      </w:r>
    </w:p>
    <w:p w:rsidR="00241EDA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Principio que se baseava novo conceito de soberania nacional e defendia a nação como uma unidade linguística, religiosa e histórico – cultural, que se deveria governar a si própria com total liberdade: “ A cada povo corresponde uma nação, a cada nação deve corresponder um novo estado.</w:t>
      </w:r>
    </w:p>
    <w:p w:rsidR="00F13D0D" w:rsidRPr="00834D35" w:rsidP="00241EDA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834D35">
        <w:rPr>
          <w:rFonts w:ascii="Century Gothic" w:hAnsi="Century Gothic"/>
          <w:b/>
          <w:sz w:val="24"/>
          <w:szCs w:val="24"/>
        </w:rPr>
        <w:t>Revoluções liberais ocorridas na América Latina:</w:t>
      </w:r>
    </w:p>
    <w:p w:rsidR="00F13D0D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Paraguai (1811); Venezuela (1811); Uruguai (1815); Argentina (1816); Chile (1818); Colômbia (1819); Peru (1821); México (1821); Equador (1822); Brasil (1822); Bolívia (1825).</w:t>
      </w:r>
    </w:p>
    <w:p w:rsidR="00F85487" w:rsidP="00241EDA">
      <w:pPr>
        <w:ind w:left="-426" w:right="-285"/>
        <w:rPr>
          <w:rFonts w:ascii="Century Gothic" w:hAnsi="Century Gothic"/>
          <w:b/>
          <w:sz w:val="24"/>
          <w:szCs w:val="24"/>
        </w:rPr>
      </w:pPr>
    </w:p>
    <w:p w:rsidR="009066D9" w:rsidRPr="009066D9" w:rsidP="00241EDA">
      <w:pPr>
        <w:ind w:left="-426" w:right="-285"/>
        <w:rPr>
          <w:rFonts w:ascii="Century Gothic" w:hAnsi="Century Gothic"/>
          <w:b/>
          <w:sz w:val="24"/>
          <w:szCs w:val="24"/>
        </w:rPr>
      </w:pPr>
      <w:r w:rsidRPr="009066D9">
        <w:rPr>
          <w:rFonts w:ascii="Century Gothic" w:hAnsi="Century Gothic"/>
          <w:b/>
          <w:sz w:val="24"/>
          <w:szCs w:val="24"/>
        </w:rPr>
        <w:t>Relações estabelecidas entre as mudanças ocorridas na Europa e na América durante o século XIX:</w:t>
      </w:r>
    </w:p>
    <w:p w:rsidR="009066D9" w:rsidP="00241EDA">
      <w:pPr>
        <w:ind w:left="-426" w:right="-28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Há uma relação direta entre a Europa e a América. Na Europa o princípio do nacionalismo (o direito dos povos à independência e à autodeterminação, servindo assim de inspiração aos países da América Latina. Por outro lado quase todos os países da América Latina pertenciam aos espanhóis e aos portugueses e também estes dois países sofreram revoluções liberais em 1812 e 1820 que conduziram posteriormente a movimentos de independência nas respetivas colónias.</w:t>
      </w:r>
    </w:p>
    <w:p w:rsidR="00241EDA" w:rsidRPr="00834D35" w:rsidP="00241EDA">
      <w:pPr>
        <w:ind w:left="-426" w:right="-285"/>
        <w:rPr>
          <w:rFonts w:ascii="Century Gothic" w:hAnsi="Century Gothic"/>
          <w:sz w:val="28"/>
          <w:szCs w:val="28"/>
        </w:rPr>
      </w:pPr>
    </w:p>
    <w:p w:rsidR="00834D35" w:rsidRPr="009357CF" w:rsidP="00241EDA">
      <w:pPr>
        <w:ind w:left="-426" w:right="-285"/>
        <w:rPr>
          <w:rFonts w:ascii="Century Gothic" w:hAnsi="Century Gothic"/>
          <w:sz w:val="24"/>
          <w:szCs w:val="24"/>
        </w:rPr>
      </w:pPr>
    </w:p>
    <w:sectPr w:rsidSect="00BA501B">
      <w:headerReference w:type="default" r:id="rId4"/>
      <w:foot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D35" w:rsidRPr="003F29AB" w:rsidP="00834D35">
    <w:pPr>
      <w:pStyle w:val="Header"/>
      <w:rPr>
        <w:rFonts w:ascii="Century Gothic" w:hAnsi="Century Gothic"/>
      </w:rPr>
    </w:pPr>
    <w:r w:rsidRPr="003F29AB">
      <w:rPr>
        <w:rFonts w:ascii="Century Gothic" w:hAnsi="Century Gothic"/>
      </w:rPr>
      <w:t xml:space="preserve">Página </w:t>
    </w:r>
    <w:r w:rsidRPr="003F29AB" w:rsidR="007160E4">
      <w:rPr>
        <w:rFonts w:ascii="Century Gothic" w:hAnsi="Century Gothic"/>
        <w:b/>
        <w:sz w:val="24"/>
        <w:szCs w:val="24"/>
      </w:rPr>
      <w:fldChar w:fldCharType="begin"/>
    </w:r>
    <w:r w:rsidRPr="003F29AB">
      <w:rPr>
        <w:rFonts w:ascii="Century Gothic" w:hAnsi="Century Gothic"/>
        <w:b/>
      </w:rPr>
      <w:instrText>PAGE</w:instrText>
    </w:r>
    <w:r w:rsidRPr="003F29AB" w:rsidR="007160E4">
      <w:rPr>
        <w:rFonts w:ascii="Century Gothic" w:hAnsi="Century Gothic"/>
        <w:b/>
        <w:sz w:val="24"/>
        <w:szCs w:val="24"/>
      </w:rPr>
      <w:fldChar w:fldCharType="separate"/>
    </w:r>
    <w:r w:rsidR="00F85487">
      <w:rPr>
        <w:rFonts w:ascii="Century Gothic" w:hAnsi="Century Gothic"/>
        <w:b/>
        <w:noProof/>
      </w:rPr>
      <w:t>8</w:t>
    </w:r>
    <w:r w:rsidRPr="003F29AB" w:rsidR="007160E4">
      <w:rPr>
        <w:rFonts w:ascii="Century Gothic" w:hAnsi="Century Gothic"/>
        <w:b/>
        <w:sz w:val="24"/>
        <w:szCs w:val="24"/>
      </w:rPr>
      <w:fldChar w:fldCharType="end"/>
    </w:r>
    <w:r w:rsidRPr="003F29AB">
      <w:rPr>
        <w:rFonts w:ascii="Century Gothic" w:hAnsi="Century Gothic"/>
      </w:rPr>
      <w:t xml:space="preserve"> de </w:t>
    </w:r>
    <w:r w:rsidRPr="003F29AB" w:rsidR="007160E4">
      <w:rPr>
        <w:rFonts w:ascii="Century Gothic" w:hAnsi="Century Gothic"/>
        <w:b/>
        <w:sz w:val="24"/>
        <w:szCs w:val="24"/>
      </w:rPr>
      <w:fldChar w:fldCharType="begin"/>
    </w:r>
    <w:r w:rsidRPr="003F29AB">
      <w:rPr>
        <w:rFonts w:ascii="Century Gothic" w:hAnsi="Century Gothic"/>
        <w:b/>
      </w:rPr>
      <w:instrText>NUMPAGES</w:instrText>
    </w:r>
    <w:r w:rsidRPr="003F29AB" w:rsidR="007160E4">
      <w:rPr>
        <w:rFonts w:ascii="Century Gothic" w:hAnsi="Century Gothic"/>
        <w:b/>
        <w:sz w:val="24"/>
        <w:szCs w:val="24"/>
      </w:rPr>
      <w:fldChar w:fldCharType="separate"/>
    </w:r>
    <w:r w:rsidR="00F85487">
      <w:rPr>
        <w:rFonts w:ascii="Century Gothic" w:hAnsi="Century Gothic"/>
        <w:b/>
        <w:noProof/>
      </w:rPr>
      <w:t>8</w:t>
    </w:r>
    <w:r w:rsidRPr="003F29AB" w:rsidR="007160E4">
      <w:rPr>
        <w:rFonts w:ascii="Century Gothic" w:hAnsi="Century Gothic"/>
        <w:b/>
        <w:sz w:val="24"/>
        <w:szCs w:val="24"/>
      </w:rPr>
      <w:fldChar w:fldCharType="end"/>
    </w:r>
    <w:r w:rsidRPr="00834D35">
      <w:rPr>
        <w:rFonts w:ascii="Century Gothic" w:hAnsi="Century Gothic"/>
      </w:rPr>
      <w:t xml:space="preserve"> </w:t>
      <w:tab/>
      <w:t>História</w:t>
      <w:tab/>
      <w:t>11º ano</w:t>
    </w:r>
  </w:p>
  <w:p w:rsidR="00AA0395" w:rsidRPr="003F29AB" w:rsidP="003F29AB">
    <w:pPr>
      <w:pStyle w:val="Footer"/>
      <w:rPr>
        <w:rFonts w:ascii="Century Gothic" w:hAnsi="Century Gothic"/>
      </w:rPr>
    </w:pPr>
  </w:p>
  <w:p w:rsidR="00AA0395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395" w:rsidRPr="003F29AB">
    <w:pPr>
      <w:pStyle w:val="Header"/>
      <w:rPr>
        <w:rFonts w:ascii="Century Gothic" w:hAnsi="Century Gothic"/>
      </w:rPr>
    </w:pPr>
    <w:r>
      <w:rPr>
        <w:rFonts w:ascii="Century Gothic" w:hAnsi="Century Gothic"/>
      </w:rPr>
      <w:t>Maria Brasileiro</w:t>
      <w:tab/>
      <w:tab/>
    </w:r>
    <w:r w:rsidRPr="00834D35" w:rsidR="00834D35">
      <w:rPr>
        <w:rFonts w:ascii="Century Gothic" w:hAnsi="Century Gothic"/>
        <w:b/>
      </w:rPr>
      <w:t>Kiss miguitos fofitos :)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0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abealhoCarcter"/>
    <w:uiPriority w:val="99"/>
    <w:unhideWhenUsed/>
    <w:rsid w:val="003F29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3F29AB"/>
  </w:style>
  <w:style w:type="paragraph" w:styleId="Footer">
    <w:name w:val="footer"/>
    <w:basedOn w:val="Normal"/>
    <w:link w:val="RodapCarcter"/>
    <w:uiPriority w:val="99"/>
    <w:unhideWhenUsed/>
    <w:rsid w:val="003F29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3F29AB"/>
  </w:style>
  <w:style w:type="paragraph" w:styleId="BalloonText">
    <w:name w:val="Balloon Text"/>
    <w:basedOn w:val="Normal"/>
    <w:link w:val="TextodebaloCarcter"/>
    <w:uiPriority w:val="99"/>
    <w:semiHidden/>
    <w:unhideWhenUsed/>
    <w:rsid w:val="003F2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3F29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footer" Target="footer1.xml"></Relationship><Relationship Id="rId6" Type="http://schemas.openxmlformats.org/officeDocument/2006/relationships/theme" Target="theme/theme1.xml"></Relationship><Relationship Id="rId7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8</Pages>
  <Words>2536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Revolução Americana</dc:title>
  <dc:creator>Maria Brasileiro</dc:creator>
  <dc:description>A Revolução Americana_x000d_
A Revolução Francesa</dc:description>
  <cp:revision>17</cp:revision>
  <cp:lastPrinted>2013-01-29T22:30:00Z</cp:lastPrinted>
  <dcterms:created xsi:type="dcterms:W3CDTF">2013-01-10T20:16:00Z</dcterms:created>
  <dcterms:modified xsi:type="dcterms:W3CDTF">2013-02-12T16:50:00Z</dcterms:modified>
</cp:coreProperties>
</file>