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A55606" w:rsidP="00CE63C9">
      <w:pPr>
        <w:pStyle w:val="NoSpacing"/>
        <w:ind w:firstLine="709"/>
        <w:rPr>
          <w:rFonts w:ascii="Century Gothic" w:hAnsi="Century Gothic"/>
          <w:sz w:val="20"/>
          <w:szCs w:val="20"/>
        </w:rPr>
      </w:pPr>
      <w:r w:rsidRPr="00A55606">
        <w:rPr>
          <w:rFonts w:ascii="Century Gothic" w:hAnsi="Century Gothic"/>
          <w:b/>
          <w:color w:val="E36C0A" w:themeColor="accent6" w:themeShade="BF"/>
          <w:sz w:val="20"/>
          <w:szCs w:val="20"/>
        </w:rPr>
        <w:t>O FIM DO MODELO SOVIÉTICO</w:t>
      </w:r>
    </w:p>
    <w:p w:rsidR="00A55606" w:rsidP="00A55606">
      <w:pPr>
        <w:pStyle w:val="NoSpacing"/>
        <w:ind w:firstLine="709"/>
        <w:rPr>
          <w:rFonts w:ascii="Century Gothic" w:hAnsi="Century Gothic"/>
          <w:sz w:val="20"/>
          <w:szCs w:val="20"/>
        </w:rPr>
      </w:pPr>
      <w:r>
        <w:rPr>
          <w:rFonts w:ascii="Century Gothic" w:hAnsi="Century Gothic"/>
          <w:sz w:val="20"/>
          <w:szCs w:val="20"/>
        </w:rPr>
        <w:t xml:space="preserve">De 1985 a 1991, a História Mundial sofreu modificações profundas: a Guerra Fria terminou de forma inesperada, as democracias populares europeias aboliram o comunismo, as duas Alemanhas fundiram-se num só Estado e a URSS desintegrou-se, deixando os Estados Unidos da América sem concorrente ao lugar de superpotência mundial. </w:t>
      </w:r>
    </w:p>
    <w:p w:rsidR="00A55606" w:rsidP="00A55606">
      <w:pPr>
        <w:pStyle w:val="NoSpacing"/>
        <w:rPr>
          <w:rFonts w:ascii="Century Gothic" w:hAnsi="Century Gothic"/>
          <w:sz w:val="20"/>
          <w:szCs w:val="20"/>
        </w:rPr>
      </w:pPr>
    </w:p>
    <w:p w:rsidR="00117315" w:rsidRPr="00722BC4" w:rsidP="00722BC4">
      <w:pPr>
        <w:pStyle w:val="NoSpacing"/>
        <w:numPr>
          <w:ilvl w:val="0"/>
          <w:numId w:val="8"/>
        </w:numPr>
        <w:rPr>
          <w:rFonts w:ascii="Century Gothic" w:hAnsi="Century Gothic"/>
          <w:b/>
          <w:color w:val="E36C0A" w:themeColor="accent6" w:themeShade="BF"/>
          <w:sz w:val="20"/>
          <w:szCs w:val="20"/>
        </w:rPr>
      </w:pPr>
      <w:r w:rsidRPr="00722BC4">
        <w:rPr>
          <w:rFonts w:ascii="Century Gothic" w:hAnsi="Century Gothic"/>
          <w:b/>
          <w:color w:val="E36C0A" w:themeColor="accent6" w:themeShade="BF"/>
          <w:sz w:val="20"/>
          <w:szCs w:val="20"/>
        </w:rPr>
        <w:t>A ERA GORBATCHEV</w:t>
      </w:r>
    </w:p>
    <w:p w:rsidR="00A55606" w:rsidRPr="00FE6C27" w:rsidP="00A55606">
      <w:pPr>
        <w:pStyle w:val="NoSpacing"/>
        <w:numPr>
          <w:ilvl w:val="0"/>
          <w:numId w:val="3"/>
        </w:numPr>
        <w:rPr>
          <w:rFonts w:ascii="Century Gothic" w:hAnsi="Century Gothic"/>
          <w:color w:val="E36C0A" w:themeColor="accent6" w:themeShade="BF"/>
          <w:sz w:val="20"/>
          <w:szCs w:val="20"/>
        </w:rPr>
      </w:pPr>
      <w:r w:rsidRPr="00FE6C27">
        <w:rPr>
          <w:rFonts w:ascii="Century Gothic" w:hAnsi="Century Gothic"/>
          <w:color w:val="E36C0A" w:themeColor="accent6" w:themeShade="BF"/>
          <w:sz w:val="20"/>
          <w:szCs w:val="20"/>
        </w:rPr>
        <w:t>Uma nova política</w:t>
      </w:r>
    </w:p>
    <w:p w:rsidR="00A55606" w:rsidP="00A55606">
      <w:pPr>
        <w:pStyle w:val="NoSpacing"/>
        <w:ind w:firstLine="709"/>
        <w:rPr>
          <w:rFonts w:ascii="Century Gothic" w:hAnsi="Century Gothic"/>
          <w:sz w:val="20"/>
          <w:szCs w:val="20"/>
        </w:rPr>
      </w:pPr>
      <w:r>
        <w:rPr>
          <w:rFonts w:ascii="Century Gothic" w:hAnsi="Century Gothic"/>
          <w:sz w:val="20"/>
          <w:szCs w:val="20"/>
        </w:rPr>
        <w:t xml:space="preserve">Em março de 1985, Mikhail Gorbatchev é eleito secretário-geral do Partido Comunista da União Soviética. </w:t>
      </w:r>
    </w:p>
    <w:p w:rsidR="00A55606" w:rsidP="00A55606">
      <w:pPr>
        <w:pStyle w:val="NoSpacing"/>
        <w:ind w:firstLine="709"/>
        <w:rPr>
          <w:rFonts w:ascii="Century Gothic" w:hAnsi="Century Gothic"/>
          <w:sz w:val="20"/>
          <w:szCs w:val="20"/>
        </w:rPr>
      </w:pPr>
      <w:r>
        <w:rPr>
          <w:rFonts w:ascii="Century Gothic" w:hAnsi="Century Gothic"/>
          <w:noProof/>
          <w:sz w:val="20"/>
          <w:szCs w:val="20"/>
        </w:rPr>
        <w:pict>
          <v:shapetype id="_x0000_t202" coordsize="21600,21600" o:spt="202" path="m,l,21600r21600,l21600,xe">
            <v:stroke joinstyle="miter"/>
            <v:path gradientshapeok="t" o:connecttype="rect"/>
          </v:shapetype>
          <v:shape id="_x0000_s1025" type="#_x0000_t202" style="height:206.55pt;margin-left:253.4pt;margin-top:34.55pt;position:absolute;width:169.1pt;z-index:-251657216" strokecolor="#e36c0a">
            <v:textbox style="mso-fit-shape-to-text:t">
              <w:txbxContent>
                <w:p w:rsidR="002C5F61" w:rsidRPr="00FE6C27" w:rsidP="00FE6C27">
                  <w:pPr>
                    <w:pStyle w:val="NoSpacing"/>
                    <w:rPr>
                      <w:rFonts w:ascii="Century Gothic" w:hAnsi="Century Gothic"/>
                      <w:sz w:val="18"/>
                      <w:szCs w:val="18"/>
                    </w:rPr>
                  </w:pPr>
                  <w:r w:rsidRPr="00FE6C27">
                    <w:rPr>
                      <w:rFonts w:ascii="Century Gothic" w:hAnsi="Century Gothic"/>
                      <w:i/>
                      <w:color w:val="E36C0A" w:themeColor="accent6" w:themeShade="BF"/>
                      <w:sz w:val="18"/>
                      <w:szCs w:val="18"/>
                    </w:rPr>
                    <w:t>Perestroika:</w:t>
                  </w:r>
                  <w:r w:rsidRPr="00FE6C27">
                    <w:rPr>
                      <w:rFonts w:ascii="Century Gothic" w:hAnsi="Century Gothic"/>
                      <w:sz w:val="18"/>
                      <w:szCs w:val="18"/>
                    </w:rPr>
                    <w:t xml:space="preserve"> reestruturação profunda do funcionamento do modelo soviético empreendido por Gorbatchev, a partir de 1985. </w:t>
                  </w:r>
                </w:p>
                <w:p w:rsidR="002C5F61" w:rsidRPr="00FE6C27" w:rsidP="00FE6C27">
                  <w:pPr>
                    <w:pStyle w:val="NoSpacing"/>
                    <w:rPr>
                      <w:rFonts w:ascii="Century Gothic" w:hAnsi="Century Gothic"/>
                      <w:sz w:val="18"/>
                      <w:szCs w:val="18"/>
                    </w:rPr>
                  </w:pPr>
                  <w:r w:rsidRPr="00FE6C27">
                    <w:rPr>
                      <w:rFonts w:ascii="Century Gothic" w:hAnsi="Century Gothic"/>
                      <w:sz w:val="18"/>
                      <w:szCs w:val="18"/>
                    </w:rPr>
                    <w:t xml:space="preserve">Tendo um caráter marcadamente económico, a </w:t>
                  </w:r>
                  <w:r w:rsidRPr="00FE6C27">
                    <w:rPr>
                      <w:rFonts w:ascii="Century Gothic" w:hAnsi="Century Gothic"/>
                      <w:i/>
                      <w:sz w:val="18"/>
                      <w:szCs w:val="18"/>
                    </w:rPr>
                    <w:t>perestroika</w:t>
                  </w:r>
                  <w:r w:rsidRPr="00FE6C27">
                    <w:rPr>
                      <w:rFonts w:ascii="Century Gothic" w:hAnsi="Century Gothic"/>
                      <w:sz w:val="18"/>
                      <w:szCs w:val="18"/>
                    </w:rPr>
                    <w:t xml:space="preserve"> assumiu também um vertente política (a </w:t>
                  </w:r>
                  <w:r w:rsidRPr="00FE6C27">
                    <w:rPr>
                      <w:rFonts w:ascii="Century Gothic" w:hAnsi="Century Gothic"/>
                      <w:i/>
                      <w:sz w:val="18"/>
                      <w:szCs w:val="18"/>
                    </w:rPr>
                    <w:t>glasnost</w:t>
                  </w:r>
                  <w:r w:rsidRPr="00FE6C27">
                    <w:rPr>
                      <w:rFonts w:ascii="Century Gothic" w:hAnsi="Century Gothic"/>
                      <w:sz w:val="18"/>
                      <w:szCs w:val="18"/>
                    </w:rPr>
                    <w:t xml:space="preserve">) que procurou reconciliar o socialismo e a democracia. </w:t>
                  </w:r>
                </w:p>
                <w:p w:rsidR="002C5F61" w:rsidRPr="00FE6C27" w:rsidP="00FE6C27">
                  <w:pPr>
                    <w:pStyle w:val="NoSpacing"/>
                    <w:rPr>
                      <w:rFonts w:ascii="Century Gothic" w:hAnsi="Century Gothic"/>
                      <w:sz w:val="18"/>
                      <w:szCs w:val="18"/>
                    </w:rPr>
                  </w:pPr>
                  <w:r w:rsidRPr="00FE6C27">
                    <w:rPr>
                      <w:rFonts w:ascii="Century Gothic" w:hAnsi="Century Gothic"/>
                      <w:sz w:val="18"/>
                      <w:szCs w:val="18"/>
                    </w:rPr>
                    <w:t xml:space="preserve">Embora não pretendesse pôr em causa o regime, o fracasso económico da </w:t>
                  </w:r>
                  <w:r w:rsidRPr="00FE6C27">
                    <w:rPr>
                      <w:rFonts w:ascii="Century Gothic" w:hAnsi="Century Gothic"/>
                      <w:i/>
                      <w:sz w:val="18"/>
                      <w:szCs w:val="18"/>
                    </w:rPr>
                    <w:t>perestroika</w:t>
                  </w:r>
                  <w:r w:rsidRPr="00FE6C27">
                    <w:rPr>
                      <w:rFonts w:ascii="Century Gothic" w:hAnsi="Century Gothic"/>
                      <w:sz w:val="18"/>
                      <w:szCs w:val="18"/>
                    </w:rPr>
                    <w:t xml:space="preserve"> e a torrente de contestação interna que a acompanhou acabaram por conduzir ao colapso do bloco soviético e da própria URSS, no início dos anos 90. </w:t>
                  </w:r>
                </w:p>
              </w:txbxContent>
            </v:textbox>
            <w10:wrap type="tight"/>
          </v:shape>
        </w:pict>
      </w:r>
      <w:r w:rsidR="00091EDE">
        <w:rPr>
          <w:rFonts w:ascii="Century Gothic" w:hAnsi="Century Gothic"/>
          <w:sz w:val="20"/>
          <w:szCs w:val="20"/>
        </w:rPr>
        <w:t xml:space="preserve">O nível de vida da população baixava, o atraso económico e tecnológico, relativamente aos EUA, aumentava e só com muitas dificuldades o país conseguia suportar os pesados encargos decorrentes da sua vasta influência no Mundo. </w:t>
      </w:r>
    </w:p>
    <w:p w:rsidR="00A55606" w:rsidP="00A55606">
      <w:pPr>
        <w:pStyle w:val="NoSpacing"/>
        <w:ind w:firstLine="709"/>
        <w:rPr>
          <w:rFonts w:ascii="Century Gothic" w:hAnsi="Century Gothic"/>
          <w:sz w:val="20"/>
          <w:szCs w:val="20"/>
        </w:rPr>
      </w:pPr>
      <w:r>
        <w:rPr>
          <w:rFonts w:ascii="Century Gothic" w:hAnsi="Century Gothic"/>
          <w:sz w:val="20"/>
          <w:szCs w:val="20"/>
        </w:rPr>
        <w:t>Deste modo, Gorbatchev inicia uma política de diálogo e aproximação ao Ocidente, propondo aos Americanos o reinício das conversações sobre o desarmamento. Incapaz de igualar o arrojado programa de defesa nuclear da Administração Reagan</w:t>
      </w:r>
      <w:r>
        <w:rPr>
          <w:rStyle w:val="FootnoteReference"/>
          <w:rFonts w:ascii="Century Gothic" w:hAnsi="Century Gothic"/>
          <w:sz w:val="20"/>
          <w:szCs w:val="20"/>
        </w:rPr>
        <w:footnoteReference w:id="2"/>
      </w:r>
      <w:r w:rsidR="0004623C">
        <w:rPr>
          <w:rFonts w:ascii="Century Gothic" w:hAnsi="Century Gothic"/>
          <w:sz w:val="20"/>
          <w:szCs w:val="20"/>
        </w:rPr>
        <w:t xml:space="preserve">, o líder soviético procura criar um clima internacional estável que abrande a corrida ao armamento e permita à URSS utiliza os seus recursos para a reestruturação interna. </w:t>
      </w:r>
    </w:p>
    <w:p w:rsidR="0004623C" w:rsidP="00A55606">
      <w:pPr>
        <w:pStyle w:val="NoSpacing"/>
        <w:ind w:firstLine="709"/>
        <w:rPr>
          <w:rFonts w:ascii="Century Gothic" w:hAnsi="Century Gothic"/>
          <w:sz w:val="20"/>
          <w:szCs w:val="20"/>
        </w:rPr>
      </w:pPr>
      <w:r>
        <w:rPr>
          <w:rFonts w:ascii="Century Gothic" w:hAnsi="Century Gothic"/>
          <w:sz w:val="20"/>
          <w:szCs w:val="20"/>
        </w:rPr>
        <w:t xml:space="preserve">Para ganhar o apoio popular para o plano de renovação económica – </w:t>
      </w:r>
      <w:r w:rsidRPr="0078440E">
        <w:rPr>
          <w:rFonts w:ascii="Century Gothic" w:hAnsi="Century Gothic"/>
          <w:i/>
          <w:sz w:val="20"/>
          <w:szCs w:val="20"/>
        </w:rPr>
        <w:t xml:space="preserve">perestroika </w:t>
      </w:r>
      <w:r>
        <w:rPr>
          <w:rFonts w:ascii="Century Gothic" w:hAnsi="Century Gothic"/>
          <w:sz w:val="20"/>
          <w:szCs w:val="20"/>
        </w:rPr>
        <w:t xml:space="preserve">(reestruturação), Gorbatchev, inicia, ao mesmo tempo, uma ampla abertura política, conhecida como </w:t>
      </w:r>
      <w:r w:rsidRPr="0078440E">
        <w:rPr>
          <w:rFonts w:ascii="Century Gothic" w:hAnsi="Century Gothic"/>
          <w:i/>
          <w:sz w:val="20"/>
          <w:szCs w:val="20"/>
        </w:rPr>
        <w:t>glasnost</w:t>
      </w:r>
      <w:r>
        <w:rPr>
          <w:rFonts w:ascii="Century Gothic" w:hAnsi="Century Gothic"/>
          <w:sz w:val="20"/>
          <w:szCs w:val="20"/>
        </w:rPr>
        <w:t xml:space="preserve"> (transparência). </w:t>
      </w:r>
    </w:p>
    <w:p w:rsidR="0078440E" w:rsidP="00A55606">
      <w:pPr>
        <w:pStyle w:val="NoSpacing"/>
        <w:ind w:firstLine="709"/>
        <w:rPr>
          <w:rFonts w:ascii="Century Gothic" w:hAnsi="Century Gothic"/>
          <w:sz w:val="20"/>
          <w:szCs w:val="20"/>
        </w:rPr>
      </w:pPr>
      <w:r>
        <w:rPr>
          <w:rFonts w:ascii="Century Gothic" w:hAnsi="Century Gothic"/>
          <w:sz w:val="20"/>
          <w:szCs w:val="20"/>
        </w:rPr>
        <w:t xml:space="preserve">A </w:t>
      </w:r>
      <w:r w:rsidRPr="0078440E">
        <w:rPr>
          <w:rFonts w:ascii="Century Gothic" w:hAnsi="Century Gothic"/>
          <w:i/>
          <w:sz w:val="20"/>
          <w:szCs w:val="20"/>
        </w:rPr>
        <w:t>perestroika</w:t>
      </w:r>
      <w:r>
        <w:rPr>
          <w:rFonts w:ascii="Century Gothic" w:hAnsi="Century Gothic"/>
          <w:sz w:val="20"/>
          <w:szCs w:val="20"/>
        </w:rPr>
        <w:t xml:space="preserve"> propõe-se a descentralizar a economia, estabelecendo a gestão autónoma das empresas, que de aí em diante, se vêm privadas, tanto das apertadas diretivas dos planos quinquenais, como dos chorudos subsídios que suportavam a sua falta de rentabilidade. Paralelamente, incentiva-se a formação de um setor privado parcial, como forma de estimular a concorrência e compensar a escassez crónica dos bens de consumo. </w:t>
      </w:r>
    </w:p>
    <w:p w:rsidR="0078440E" w:rsidP="0078440E">
      <w:pPr>
        <w:pStyle w:val="NoSpacing"/>
        <w:ind w:firstLine="709"/>
        <w:rPr>
          <w:rFonts w:ascii="Century Gothic" w:hAnsi="Century Gothic"/>
          <w:sz w:val="20"/>
          <w:szCs w:val="20"/>
        </w:rPr>
      </w:pPr>
      <w:r>
        <w:rPr>
          <w:rFonts w:ascii="Century Gothic" w:hAnsi="Century Gothic"/>
          <w:sz w:val="20"/>
          <w:szCs w:val="20"/>
        </w:rPr>
        <w:t xml:space="preserve">Enquanto isso, a </w:t>
      </w:r>
      <w:r w:rsidRPr="0078440E">
        <w:rPr>
          <w:rFonts w:ascii="Century Gothic" w:hAnsi="Century Gothic"/>
          <w:i/>
          <w:sz w:val="20"/>
          <w:szCs w:val="20"/>
        </w:rPr>
        <w:t>glasnost</w:t>
      </w:r>
      <w:r>
        <w:rPr>
          <w:rFonts w:ascii="Century Gothic" w:hAnsi="Century Gothic"/>
          <w:sz w:val="20"/>
          <w:szCs w:val="20"/>
        </w:rPr>
        <w:t xml:space="preserve"> apela à denúncia da corrupção, à crítica (a censura é abolida) e à participação efetiva dos cidadãos na vida política. </w:t>
      </w:r>
    </w:p>
    <w:p w:rsidR="00A55606" w:rsidP="0078440E">
      <w:pPr>
        <w:pStyle w:val="NoSpacing"/>
        <w:ind w:firstLine="709"/>
      </w:pPr>
      <w:r>
        <w:rPr>
          <w:noProof/>
        </w:rPr>
        <w:pict>
          <v:shape id="_x0000_s1026" type="#_x0000_t202" style="height:169.1pt;margin-left:0.95pt;margin-top:15.5pt;position:absolute;width:444.25pt;z-index:251658240" strokecolor="#e36c0a">
            <v:textbox style="mso-fit-shape-to-text:t">
              <w:txbxContent>
                <w:p w:rsidR="002C5F61" w:rsidRPr="0078440E" w:rsidP="0078440E">
                  <w:pPr>
                    <w:pStyle w:val="NoSpacing"/>
                    <w:rPr>
                      <w:rFonts w:ascii="Century Gothic" w:hAnsi="Century Gothic"/>
                      <w:color w:val="E36C0A" w:themeColor="accent6" w:themeShade="BF"/>
                      <w:sz w:val="18"/>
                      <w:szCs w:val="18"/>
                    </w:rPr>
                  </w:pPr>
                  <w:r w:rsidRPr="0078440E">
                    <w:rPr>
                      <w:rFonts w:ascii="Century Gothic" w:hAnsi="Century Gothic"/>
                      <w:color w:val="E36C0A" w:themeColor="accent6" w:themeShade="BF"/>
                      <w:sz w:val="18"/>
                      <w:szCs w:val="18"/>
                    </w:rPr>
                    <w:t>Documento B, página 13</w:t>
                  </w:r>
                </w:p>
                <w:p w:rsidR="002C5F61" w:rsidRPr="0078440E" w:rsidP="0078440E">
                  <w:pPr>
                    <w:pStyle w:val="NoSpacing"/>
                    <w:rPr>
                      <w:rFonts w:ascii="Century Gothic" w:hAnsi="Century Gothic"/>
                      <w:sz w:val="18"/>
                      <w:szCs w:val="18"/>
                    </w:rPr>
                  </w:pPr>
                  <w:r w:rsidRPr="0078440E">
                    <w:rPr>
                      <w:rFonts w:ascii="Century Gothic" w:hAnsi="Century Gothic"/>
                      <w:i/>
                      <w:sz w:val="18"/>
                      <w:szCs w:val="18"/>
                    </w:rPr>
                    <w:t>Perestroika</w:t>
                  </w:r>
                  <w:r w:rsidRPr="0078440E">
                    <w:rPr>
                      <w:rFonts w:ascii="Century Gothic" w:hAnsi="Century Gothic"/>
                      <w:sz w:val="18"/>
                      <w:szCs w:val="18"/>
                    </w:rPr>
                    <w:t xml:space="preserve"> significa:</w:t>
                  </w:r>
                </w:p>
                <w:p w:rsidR="002C5F61" w:rsidRPr="0078440E" w:rsidP="0078440E">
                  <w:pPr>
                    <w:pStyle w:val="NoSpacing"/>
                    <w:rPr>
                      <w:rFonts w:ascii="Century Gothic" w:hAnsi="Century Gothic"/>
                      <w:sz w:val="18"/>
                      <w:szCs w:val="18"/>
                    </w:rPr>
                  </w:pPr>
                  <w:r w:rsidRPr="0078440E">
                    <w:rPr>
                      <w:rFonts w:ascii="Century Gothic" w:hAnsi="Century Gothic"/>
                      <w:sz w:val="18"/>
                      <w:szCs w:val="18"/>
                    </w:rPr>
                    <w:t>- Ultrapassar o processo de estagnação, eliminar os bloqueios, criar sistemas fiáveis e eficazes para acelerar o progresso social e económico e dar-lhe um maior dinamismo;</w:t>
                  </w:r>
                </w:p>
                <w:p w:rsidR="002C5F61" w:rsidRPr="0078440E" w:rsidP="0078440E">
                  <w:pPr>
                    <w:pStyle w:val="NoSpacing"/>
                    <w:rPr>
                      <w:rFonts w:ascii="Century Gothic" w:hAnsi="Century Gothic"/>
                      <w:sz w:val="18"/>
                      <w:szCs w:val="18"/>
                    </w:rPr>
                  </w:pPr>
                  <w:r w:rsidRPr="0078440E">
                    <w:rPr>
                      <w:rFonts w:ascii="Century Gothic" w:hAnsi="Century Gothic"/>
                      <w:sz w:val="18"/>
                      <w:szCs w:val="18"/>
                    </w:rPr>
                    <w:t>- Iniciativa de massas: desenvolvimento completo da democracia, autonomia socialista, encorajamento da iniciativa e das atitudes criativas, mais transparência, crítica e autocrítica em todos os domínios da sociedade;</w:t>
                  </w:r>
                </w:p>
                <w:p w:rsidR="002C5F61" w:rsidRPr="0078440E" w:rsidP="0078440E">
                  <w:pPr>
                    <w:pStyle w:val="NoSpacing"/>
                    <w:rPr>
                      <w:rFonts w:ascii="Century Gothic" w:hAnsi="Century Gothic"/>
                      <w:sz w:val="18"/>
                      <w:szCs w:val="18"/>
                    </w:rPr>
                  </w:pPr>
                  <w:r w:rsidRPr="0078440E">
                    <w:rPr>
                      <w:rFonts w:ascii="Century Gothic" w:hAnsi="Century Gothic"/>
                      <w:sz w:val="18"/>
                      <w:szCs w:val="18"/>
                    </w:rPr>
                    <w:t>- Renúncia a uma gestão fundada na imposição e nos métodos administrativos;</w:t>
                  </w:r>
                </w:p>
                <w:p w:rsidR="002C5F61" w:rsidRPr="0078440E" w:rsidP="0078440E">
                  <w:pPr>
                    <w:pStyle w:val="NoSpacing"/>
                    <w:rPr>
                      <w:rFonts w:ascii="Century Gothic" w:hAnsi="Century Gothic"/>
                      <w:sz w:val="18"/>
                      <w:szCs w:val="18"/>
                    </w:rPr>
                  </w:pPr>
                  <w:r w:rsidRPr="0078440E">
                    <w:rPr>
                      <w:rFonts w:ascii="Century Gothic" w:hAnsi="Century Gothic"/>
                      <w:sz w:val="18"/>
                      <w:szCs w:val="18"/>
                    </w:rPr>
                    <w:t>- Desenvolvimento prioritário do domínio social, desejando melhores condições de vida, trabalho, lazer, educação e cuidados médicos;</w:t>
                  </w:r>
                </w:p>
                <w:p w:rsidR="002C5F61" w:rsidRPr="0078440E" w:rsidP="0078440E">
                  <w:pPr>
                    <w:pStyle w:val="NoSpacing"/>
                    <w:rPr>
                      <w:rFonts w:ascii="Century Gothic" w:hAnsi="Century Gothic"/>
                      <w:sz w:val="18"/>
                      <w:szCs w:val="18"/>
                    </w:rPr>
                  </w:pPr>
                  <w:r w:rsidRPr="0078440E">
                    <w:rPr>
                      <w:rFonts w:ascii="Century Gothic" w:hAnsi="Century Gothic"/>
                      <w:sz w:val="18"/>
                      <w:szCs w:val="18"/>
                    </w:rPr>
                    <w:t xml:space="preserve">- Pôr em prática os princípios da justiça social, respeitando o trabalho honeste e altamente qualificado. </w:t>
                  </w:r>
                </w:p>
              </w:txbxContent>
            </v:textbox>
          </v:shape>
        </w:pict>
      </w:r>
    </w:p>
    <w:p w:rsidR="0078440E"/>
    <w:p w:rsidR="0078440E" w:rsidRPr="0078440E" w:rsidP="0078440E"/>
    <w:p w:rsidR="0078440E" w:rsidRPr="0078440E" w:rsidP="0078440E"/>
    <w:p w:rsidR="0078440E" w:rsidRPr="0078440E" w:rsidP="0078440E"/>
    <w:p w:rsidR="0078440E" w:rsidP="0078440E"/>
    <w:p w:rsidR="0078440E" w:rsidP="0078440E">
      <w:pPr>
        <w:tabs>
          <w:tab w:val="left" w:pos="3165"/>
        </w:tabs>
      </w:pPr>
      <w:r>
        <w:tab/>
      </w:r>
    </w:p>
    <w:p w:rsidR="002E641F" w:rsidP="002E641F">
      <w:pPr>
        <w:pStyle w:val="NoSpacing"/>
        <w:ind w:left="2205"/>
      </w:pPr>
    </w:p>
    <w:p w:rsidR="002E641F" w:rsidP="002E641F">
      <w:pPr>
        <w:pStyle w:val="NoSpacing"/>
        <w:ind w:left="2205"/>
      </w:pPr>
    </w:p>
    <w:p w:rsidR="0078440E" w:rsidRPr="002E641F" w:rsidP="002E641F">
      <w:pPr>
        <w:pStyle w:val="NoSpacing"/>
        <w:numPr>
          <w:ilvl w:val="0"/>
          <w:numId w:val="4"/>
        </w:numPr>
        <w:ind w:left="2200" w:hanging="357"/>
        <w:rPr>
          <w:rFonts w:ascii="Century Gothic" w:hAnsi="Century Gothic"/>
          <w:color w:val="E36C0A" w:themeColor="accent6" w:themeShade="BF"/>
          <w:sz w:val="20"/>
          <w:szCs w:val="20"/>
        </w:rPr>
      </w:pPr>
      <w:r w:rsidRPr="002E641F">
        <w:rPr>
          <w:rFonts w:ascii="Century Gothic" w:hAnsi="Century Gothic"/>
          <w:color w:val="E36C0A" w:themeColor="accent6" w:themeShade="BF"/>
          <w:sz w:val="20"/>
          <w:szCs w:val="20"/>
        </w:rPr>
        <w:t>O colapso do bloco soviético</w:t>
      </w:r>
    </w:p>
    <w:p w:rsidR="002E641F" w:rsidP="002E641F">
      <w:pPr>
        <w:pStyle w:val="NoSpacing"/>
        <w:ind w:firstLine="709"/>
        <w:rPr>
          <w:rFonts w:ascii="Century Gothic" w:hAnsi="Century Gothic"/>
          <w:sz w:val="20"/>
          <w:szCs w:val="20"/>
        </w:rPr>
      </w:pPr>
      <w:r w:rsidRPr="002E641F">
        <w:rPr>
          <w:rFonts w:ascii="Century Gothic" w:hAnsi="Century Gothic"/>
          <w:sz w:val="20"/>
          <w:szCs w:val="20"/>
        </w:rPr>
        <w:t xml:space="preserve">Há muito reprimida, a contestação ao regime imposto por Moscovo alastrou e endureceu, começando a abalar as estruturas do poder. Confiante no clima de concórdia que estabelecera com o Ocidente, Gorbatchev passou a olhar as democracias populares como uma “obrigação”, da qual a URSS só ganhava em libertar-se. </w:t>
      </w:r>
    </w:p>
    <w:p w:rsidR="002E641F" w:rsidP="002E641F">
      <w:pPr>
        <w:pStyle w:val="NoSpacing"/>
        <w:ind w:firstLine="709"/>
        <w:rPr>
          <w:rFonts w:ascii="Century Gothic" w:hAnsi="Century Gothic"/>
          <w:sz w:val="20"/>
          <w:szCs w:val="20"/>
        </w:rPr>
      </w:pPr>
      <w:r>
        <w:rPr>
          <w:rFonts w:ascii="Century Gothic" w:hAnsi="Century Gothic"/>
          <w:sz w:val="20"/>
          <w:szCs w:val="20"/>
        </w:rPr>
        <w:t xml:space="preserve">A “soberania limitada” foi posta de lado e os antigos países-satélites da URSS puderam escolher o seu regime político. No ano de 1989, uma vaga democratizadora varre o leste: os partidos comunistas perdem e pouco depois, realizam-se as primeiras eleições livres do pós-guerra, que promovem a elaboração de novos textos constitucionais. </w:t>
      </w:r>
    </w:p>
    <w:p w:rsidR="00377112" w:rsidP="002E641F">
      <w:pPr>
        <w:pStyle w:val="NoSpacing"/>
        <w:ind w:firstLine="709"/>
        <w:rPr>
          <w:rFonts w:ascii="Century Gothic" w:hAnsi="Century Gothic"/>
          <w:sz w:val="20"/>
          <w:szCs w:val="20"/>
        </w:rPr>
      </w:pPr>
      <w:r>
        <w:rPr>
          <w:rFonts w:ascii="Century Gothic" w:hAnsi="Century Gothic"/>
          <w:sz w:val="20"/>
          <w:szCs w:val="20"/>
        </w:rPr>
        <w:t xml:space="preserve">A cortina de ferro levanta-se: as fronteiras com o Ocidente são abertas e, em 9 de novembro de 1989, cai o Muro de Berlim. </w:t>
      </w:r>
    </w:p>
    <w:p w:rsidR="00377112" w:rsidP="002E641F">
      <w:pPr>
        <w:pStyle w:val="NoSpacing"/>
        <w:ind w:firstLine="709"/>
        <w:rPr>
          <w:rFonts w:ascii="Century Gothic" w:hAnsi="Century Gothic"/>
          <w:sz w:val="20"/>
          <w:szCs w:val="20"/>
        </w:rPr>
      </w:pPr>
      <w:r>
        <w:rPr>
          <w:rFonts w:ascii="Century Gothic" w:hAnsi="Century Gothic"/>
          <w:sz w:val="20"/>
          <w:szCs w:val="20"/>
        </w:rPr>
        <w:t>Depois de negociações entre os dois estados alemães e os quatro países que ainda detinham direito de ocupação, a Alemanha reunifica-se em 1990, reencontrando a unidade perdida.</w:t>
      </w:r>
    </w:p>
    <w:p w:rsidR="00377112" w:rsidP="002E641F">
      <w:pPr>
        <w:pStyle w:val="NoSpacing"/>
        <w:ind w:firstLine="709"/>
        <w:rPr>
          <w:rFonts w:ascii="Century Gothic" w:hAnsi="Century Gothic"/>
          <w:sz w:val="20"/>
          <w:szCs w:val="20"/>
        </w:rPr>
      </w:pPr>
      <w:r>
        <w:rPr>
          <w:rFonts w:ascii="Century Gothic" w:hAnsi="Century Gothic"/>
          <w:sz w:val="20"/>
          <w:szCs w:val="20"/>
        </w:rPr>
        <w:t xml:space="preserve">No mês seguinte é anunciado o fim do Pacto de Varsóvia e, pouco depois, a dissolução do COMECON. </w:t>
      </w:r>
    </w:p>
    <w:p w:rsidR="00377112" w:rsidRPr="00AA2007" w:rsidP="002E641F">
      <w:pPr>
        <w:pStyle w:val="NoSpacing"/>
        <w:ind w:firstLine="709"/>
        <w:rPr>
          <w:rFonts w:ascii="Century Gothic" w:hAnsi="Century Gothic"/>
          <w:color w:val="E36C0A" w:themeColor="accent6" w:themeShade="BF"/>
          <w:sz w:val="20"/>
          <w:szCs w:val="20"/>
        </w:rPr>
      </w:pPr>
    </w:p>
    <w:p w:rsidR="00377112" w:rsidRPr="00AA2007" w:rsidP="00377112">
      <w:pPr>
        <w:pStyle w:val="NoSpacing"/>
        <w:numPr>
          <w:ilvl w:val="0"/>
          <w:numId w:val="4"/>
        </w:numPr>
        <w:ind w:left="2200" w:hanging="357"/>
        <w:rPr>
          <w:rFonts w:ascii="Century Gothic" w:hAnsi="Century Gothic"/>
          <w:color w:val="E36C0A" w:themeColor="accent6" w:themeShade="BF"/>
          <w:sz w:val="20"/>
          <w:szCs w:val="20"/>
        </w:rPr>
      </w:pPr>
      <w:r w:rsidRPr="00AA2007">
        <w:rPr>
          <w:rFonts w:ascii="Century Gothic" w:hAnsi="Century Gothic"/>
          <w:color w:val="E36C0A" w:themeColor="accent6" w:themeShade="BF"/>
          <w:sz w:val="20"/>
          <w:szCs w:val="20"/>
        </w:rPr>
        <w:t>O fim da URSS</w:t>
      </w:r>
    </w:p>
    <w:p w:rsidR="00377112" w:rsidP="00377112">
      <w:pPr>
        <w:pStyle w:val="NoSpacing"/>
        <w:ind w:firstLine="709"/>
        <w:rPr>
          <w:rFonts w:ascii="Century Gothic" w:hAnsi="Century Gothic"/>
          <w:sz w:val="20"/>
          <w:szCs w:val="20"/>
        </w:rPr>
      </w:pPr>
      <w:r>
        <w:rPr>
          <w:rFonts w:ascii="Century Gothic" w:hAnsi="Century Gothic"/>
          <w:sz w:val="20"/>
          <w:szCs w:val="20"/>
        </w:rPr>
        <w:t xml:space="preserve">A dinâmica política desencadeada pela </w:t>
      </w:r>
      <w:r w:rsidRPr="00BB059D">
        <w:rPr>
          <w:rFonts w:ascii="Century Gothic" w:hAnsi="Century Gothic"/>
          <w:i/>
          <w:sz w:val="20"/>
          <w:szCs w:val="20"/>
        </w:rPr>
        <w:t>perestroika</w:t>
      </w:r>
      <w:r>
        <w:rPr>
          <w:rFonts w:ascii="Century Gothic" w:hAnsi="Century Gothic"/>
          <w:sz w:val="20"/>
          <w:szCs w:val="20"/>
        </w:rPr>
        <w:t xml:space="preserve"> tornaram-se já incontrolável, levando como consequência, ao fim da própria URSS. Mosaico de povos, culturas e religiões o extenso território das Repúblicas Soviéticas desmembra-se, devido a uma explosão de reivindicações nacionalistas e confrontos étnicos. </w:t>
      </w:r>
    </w:p>
    <w:p w:rsidR="00BB059D" w:rsidP="00377112">
      <w:pPr>
        <w:pStyle w:val="NoSpacing"/>
        <w:ind w:firstLine="709"/>
        <w:rPr>
          <w:rFonts w:ascii="Century Gothic" w:hAnsi="Century Gothic"/>
          <w:sz w:val="20"/>
          <w:szCs w:val="20"/>
        </w:rPr>
      </w:pPr>
      <w:r>
        <w:rPr>
          <w:rFonts w:ascii="Century Gothic" w:hAnsi="Century Gothic"/>
          <w:sz w:val="20"/>
          <w:szCs w:val="20"/>
        </w:rPr>
        <w:t xml:space="preserve">O processo inicia-se nas Repúblicas Bálticas: Em 1988, a Estónia assume-se como Estado soberano no interior da URSS, com o direito de emitir passaportes próprios e a vetar as leis aprovadas pelo Parlamento soviético; em 1990, a Lituânia, por sua vez, assume o seu direito de deixar a União acontecendo o mesmo com a Letónia. </w:t>
      </w:r>
    </w:p>
    <w:p w:rsidR="00BB059D" w:rsidP="00377112">
      <w:pPr>
        <w:pStyle w:val="NoSpacing"/>
        <w:ind w:firstLine="709"/>
        <w:rPr>
          <w:rFonts w:ascii="Century Gothic" w:hAnsi="Century Gothic"/>
          <w:sz w:val="20"/>
          <w:szCs w:val="20"/>
        </w:rPr>
      </w:pPr>
      <w:r>
        <w:rPr>
          <w:rFonts w:ascii="Century Gothic" w:hAnsi="Century Gothic"/>
          <w:sz w:val="20"/>
          <w:szCs w:val="20"/>
        </w:rPr>
        <w:t xml:space="preserve">Com estes acontecimentos, Gorbatchev tenta parar o processo pela força, intervindo militarmente nos Estados Bálticos (início de 1991), retirando o líder soviético da vanguarda reformista e o apoio dos mais ousados passa para um ex-colaborador de Gorbatchev, Boris Ieltsin. Eleito, como independente, presidente da República da Rússia em junho de 1991, Ieltsin reforça o seu prestígio em agosto ao encabeçar a resistência a um golpe de Estado dos saudosistas do Partido, que pretendiam retomar o poder e parar as reformas em curso. </w:t>
      </w:r>
    </w:p>
    <w:p w:rsidR="00BB059D" w:rsidP="00377112">
      <w:pPr>
        <w:pStyle w:val="NoSpacing"/>
        <w:ind w:firstLine="709"/>
        <w:rPr>
          <w:rFonts w:ascii="Century Gothic" w:hAnsi="Century Gothic"/>
          <w:sz w:val="20"/>
          <w:szCs w:val="20"/>
        </w:rPr>
      </w:pPr>
      <w:r>
        <w:rPr>
          <w:rFonts w:ascii="Century Gothic" w:hAnsi="Century Gothic"/>
          <w:sz w:val="20"/>
          <w:szCs w:val="20"/>
        </w:rPr>
        <w:t xml:space="preserve">Após o golpe, o novo presidente toma a medida extrema de proibir as atividades do partido comunista. </w:t>
      </w:r>
    </w:p>
    <w:p w:rsidR="00AA2007" w:rsidP="00377112">
      <w:pPr>
        <w:pStyle w:val="NoSpacing"/>
        <w:ind w:firstLine="709"/>
        <w:rPr>
          <w:rFonts w:ascii="Century Gothic" w:hAnsi="Century Gothic"/>
          <w:sz w:val="20"/>
          <w:szCs w:val="20"/>
        </w:rPr>
      </w:pPr>
      <w:r>
        <w:rPr>
          <w:rFonts w:ascii="Century Gothic" w:hAnsi="Century Gothic"/>
          <w:sz w:val="20"/>
          <w:szCs w:val="20"/>
        </w:rPr>
        <w:t xml:space="preserve">No outono de 1991, a maioria das repúblicas da União declara a sua independência e a 21 de dezembro nasce, oficialmente a CEI (Comunidade de Estados Independentes), à qual aderem 12 das 15 repúblicas que integravam a União Soviética. Quatro dias depois, Gorbatchev abandona a presidência de uma URSS, que efetivamente, já desaparecera. </w:t>
      </w:r>
    </w:p>
    <w:p w:rsidR="00BB059D" w:rsidP="00377112">
      <w:pPr>
        <w:pStyle w:val="NoSpacing"/>
        <w:ind w:firstLine="709"/>
        <w:rPr>
          <w:rFonts w:ascii="Century Gothic" w:hAnsi="Century Gothic"/>
          <w:sz w:val="20"/>
          <w:szCs w:val="20"/>
        </w:rPr>
      </w:pPr>
    </w:p>
    <w:p w:rsidR="00CE63C9" w:rsidRPr="00CE63C9" w:rsidP="00722BC4">
      <w:pPr>
        <w:pStyle w:val="NoSpacing"/>
        <w:numPr>
          <w:ilvl w:val="0"/>
          <w:numId w:val="8"/>
        </w:numPr>
        <w:rPr>
          <w:rFonts w:ascii="Century Gothic" w:hAnsi="Century Gothic"/>
          <w:b/>
          <w:color w:val="E36C0A" w:themeColor="accent6" w:themeShade="BF"/>
          <w:sz w:val="20"/>
          <w:szCs w:val="20"/>
        </w:rPr>
      </w:pPr>
      <w:r w:rsidRPr="00CE63C9">
        <w:rPr>
          <w:rFonts w:ascii="Century Gothic" w:hAnsi="Century Gothic"/>
          <w:b/>
          <w:color w:val="E36C0A" w:themeColor="accent6" w:themeShade="BF"/>
          <w:sz w:val="20"/>
          <w:szCs w:val="20"/>
        </w:rPr>
        <w:t xml:space="preserve">OS PROBLEMAS DE TRANSIÇÃO PARA A ECONOMIA DE MERCADO </w:t>
      </w:r>
    </w:p>
    <w:p w:rsidR="00CE63C9" w:rsidP="00377112">
      <w:pPr>
        <w:pStyle w:val="NoSpacing"/>
        <w:ind w:firstLine="709"/>
        <w:rPr>
          <w:rFonts w:ascii="Century Gothic" w:hAnsi="Century Gothic"/>
          <w:sz w:val="20"/>
          <w:szCs w:val="20"/>
        </w:rPr>
      </w:pPr>
      <w:r>
        <w:rPr>
          <w:rFonts w:ascii="Century Gothic" w:hAnsi="Century Gothic"/>
          <w:sz w:val="20"/>
          <w:szCs w:val="20"/>
        </w:rPr>
        <w:t xml:space="preserve">A </w:t>
      </w:r>
      <w:r w:rsidRPr="00CE63C9">
        <w:rPr>
          <w:rFonts w:ascii="Century Gothic" w:hAnsi="Century Gothic"/>
          <w:i/>
          <w:sz w:val="20"/>
          <w:szCs w:val="20"/>
        </w:rPr>
        <w:t>perestroika</w:t>
      </w:r>
      <w:r>
        <w:rPr>
          <w:rFonts w:ascii="Century Gothic" w:hAnsi="Century Gothic"/>
          <w:sz w:val="20"/>
          <w:szCs w:val="20"/>
        </w:rPr>
        <w:t xml:space="preserve"> tinha prometido aos Soviéticos uma melhoria acentuada e rápida do nível de vida. No entanto, ao contrário do previsto, a reconversão económica foi um fracasso e a economia deteriorou-se rapidamente. </w:t>
      </w:r>
    </w:p>
    <w:p w:rsidR="00CE63C9" w:rsidP="00377112">
      <w:pPr>
        <w:pStyle w:val="NoSpacing"/>
        <w:ind w:firstLine="709"/>
        <w:rPr>
          <w:rFonts w:ascii="Century Gothic" w:hAnsi="Century Gothic"/>
          <w:sz w:val="20"/>
          <w:szCs w:val="20"/>
        </w:rPr>
      </w:pPr>
    </w:p>
    <w:p w:rsidR="00CE63C9" w:rsidP="00377112">
      <w:pPr>
        <w:pStyle w:val="NoSpacing"/>
        <w:ind w:firstLine="709"/>
        <w:rPr>
          <w:rFonts w:ascii="Century Gothic" w:hAnsi="Century Gothic"/>
          <w:sz w:val="20"/>
          <w:szCs w:val="20"/>
        </w:rPr>
      </w:pPr>
      <w:r>
        <w:rPr>
          <w:rFonts w:ascii="Century Gothic" w:hAnsi="Century Gothic"/>
          <w:sz w:val="20"/>
          <w:szCs w:val="20"/>
        </w:rPr>
        <w:t xml:space="preserve">O fim da economia planificada encerrou os subsídios estatais às empresas, que se viram na necessidade de se tornarem lucrativas ou enfrentarem a falência. Assim, muitas unidades desapareceram e outras extinguiram numerosos postos de trabalho. </w:t>
      </w:r>
    </w:p>
    <w:p w:rsidR="00CE63C9" w:rsidP="00377112">
      <w:pPr>
        <w:pStyle w:val="NoSpacing"/>
        <w:ind w:firstLine="709"/>
        <w:rPr>
          <w:rFonts w:ascii="Century Gothic" w:hAnsi="Century Gothic"/>
          <w:sz w:val="20"/>
          <w:szCs w:val="20"/>
        </w:rPr>
      </w:pPr>
      <w:r>
        <w:rPr>
          <w:rFonts w:ascii="Century Gothic" w:hAnsi="Century Gothic"/>
          <w:sz w:val="20"/>
          <w:szCs w:val="20"/>
        </w:rPr>
        <w:t xml:space="preserve">Simultaneamente o descontrolo económico e a liberalização dos preços (os bens de primeira necessidade deixaram também de ser subsidiados pelo Estado) desencadearam uma inflação galopante, que a subida dos salários não acompanhou. </w:t>
      </w:r>
    </w:p>
    <w:p w:rsidR="00CE63C9" w:rsidP="00377112">
      <w:pPr>
        <w:pStyle w:val="NoSpacing"/>
        <w:ind w:firstLine="709"/>
        <w:rPr>
          <w:rFonts w:ascii="Century Gothic" w:hAnsi="Century Gothic"/>
          <w:sz w:val="20"/>
          <w:szCs w:val="20"/>
        </w:rPr>
      </w:pPr>
      <w:r>
        <w:rPr>
          <w:rFonts w:ascii="Century Gothic" w:hAnsi="Century Gothic"/>
          <w:sz w:val="20"/>
          <w:szCs w:val="20"/>
        </w:rPr>
        <w:t xml:space="preserve">O desemprego, o atraso nos pagamentos das pensões e dos salários dos funcionários públicos, bem como a rápida perda de valor do rublo significaram o fim das poupanças de muitas famílias soviéticas, que rapidamente se virem sem meios de subsistência. </w:t>
      </w:r>
    </w:p>
    <w:p w:rsidR="00922E9F" w:rsidP="00377112">
      <w:pPr>
        <w:pStyle w:val="NoSpacing"/>
        <w:ind w:firstLine="709"/>
        <w:rPr>
          <w:rFonts w:ascii="Century Gothic" w:hAnsi="Century Gothic"/>
          <w:sz w:val="20"/>
          <w:szCs w:val="20"/>
        </w:rPr>
      </w:pPr>
    </w:p>
    <w:p w:rsidR="00922E9F" w:rsidP="00377112">
      <w:pPr>
        <w:pStyle w:val="NoSpacing"/>
        <w:ind w:firstLine="709"/>
        <w:rPr>
          <w:rFonts w:ascii="Century Gothic" w:hAnsi="Century Gothic"/>
          <w:sz w:val="20"/>
          <w:szCs w:val="20"/>
        </w:rPr>
      </w:pPr>
      <w:r>
        <w:rPr>
          <w:rFonts w:ascii="Century Gothic" w:hAnsi="Century Gothic"/>
          <w:sz w:val="20"/>
          <w:szCs w:val="20"/>
        </w:rPr>
        <w:t xml:space="preserve">Em contrapartida, a liberalização económica enriqueceu um pequeno grupo, que, em pouco tempo, acumulou grandes fortunas. Muitos dos antigos gestores estatais apoderaram-se do controlo das empresas, que foram privatizadas, de forma pouco transparente, por preços ridículos. Outros, canalizaram fundos públicos para investimentos privados no estrangeiro e outros ainda dedicaram-se à extorsão ou ao mercado negro. </w:t>
      </w:r>
    </w:p>
    <w:p w:rsidR="00922E9F" w:rsidP="00377112">
      <w:pPr>
        <w:pStyle w:val="NoSpacing"/>
        <w:ind w:firstLine="709"/>
        <w:rPr>
          <w:rFonts w:ascii="Century Gothic" w:hAnsi="Century Gothic"/>
          <w:sz w:val="20"/>
          <w:szCs w:val="20"/>
        </w:rPr>
      </w:pPr>
      <w:r>
        <w:rPr>
          <w:rFonts w:ascii="Century Gothic" w:hAnsi="Century Gothic"/>
          <w:sz w:val="20"/>
          <w:szCs w:val="20"/>
        </w:rPr>
        <w:t xml:space="preserve">De forma geral, a riqueza passou para as mãos de antigos altos funcionários. </w:t>
      </w:r>
    </w:p>
    <w:p w:rsidR="00922E9F" w:rsidP="00377112">
      <w:pPr>
        <w:pStyle w:val="NoSpacing"/>
        <w:ind w:firstLine="709"/>
        <w:rPr>
          <w:rFonts w:ascii="Century Gothic" w:hAnsi="Century Gothic"/>
          <w:sz w:val="20"/>
          <w:szCs w:val="20"/>
        </w:rPr>
      </w:pPr>
    </w:p>
    <w:p w:rsidR="00922E9F" w:rsidP="00377112">
      <w:pPr>
        <w:pStyle w:val="NoSpacing"/>
        <w:ind w:firstLine="709"/>
        <w:rPr>
          <w:rFonts w:ascii="Century Gothic" w:hAnsi="Century Gothic"/>
          <w:sz w:val="20"/>
          <w:szCs w:val="20"/>
        </w:rPr>
      </w:pPr>
      <w:r>
        <w:rPr>
          <w:rFonts w:ascii="Century Gothic" w:hAnsi="Century Gothic"/>
          <w:sz w:val="20"/>
          <w:szCs w:val="20"/>
        </w:rPr>
        <w:t xml:space="preserve">Os países de Leste viveram também, de forma dolorosa, a transição para a economia de mercado. </w:t>
      </w:r>
    </w:p>
    <w:p w:rsidR="0042453A" w:rsidP="00377112">
      <w:pPr>
        <w:pStyle w:val="NoSpacing"/>
        <w:ind w:firstLine="709"/>
        <w:rPr>
          <w:rFonts w:ascii="Century Gothic" w:hAnsi="Century Gothic"/>
          <w:sz w:val="20"/>
          <w:szCs w:val="20"/>
        </w:rPr>
      </w:pPr>
      <w:r>
        <w:rPr>
          <w:rFonts w:ascii="Century Gothic" w:hAnsi="Century Gothic"/>
          <w:sz w:val="20"/>
          <w:szCs w:val="20"/>
        </w:rPr>
        <w:t xml:space="preserve">Privados dos subsídios que recebiam da União Soviética em conjugação com a redução das trocas na área do antigo COMECON e com uma produção alicerçada em indústrias e equipamentos atrasados, os antigos satélites da URSS sofreram uma brusca regressão económica. Com exceção da RDA, que recebeu grandes subsídios da Alemanha Ocidental, a transição fez-se precipitadamente e com poucas ajudas externas. Tal como na Rússia, o caos económico instalou-se e as desigualdades agravaram-se. </w:t>
      </w:r>
    </w:p>
    <w:p w:rsidR="001D62DB" w:rsidP="00377112">
      <w:pPr>
        <w:pStyle w:val="NoSpacing"/>
        <w:ind w:firstLine="709"/>
        <w:rPr>
          <w:rFonts w:ascii="Century Gothic" w:hAnsi="Century Gothic"/>
          <w:sz w:val="20"/>
          <w:szCs w:val="20"/>
        </w:rPr>
      </w:pPr>
    </w:p>
    <w:p w:rsidR="00713233" w:rsidP="00377112">
      <w:pPr>
        <w:pStyle w:val="NoSpacing"/>
        <w:ind w:firstLine="709"/>
        <w:rPr>
          <w:rFonts w:ascii="Century Gothic" w:hAnsi="Century Gothic"/>
          <w:sz w:val="20"/>
          <w:szCs w:val="20"/>
        </w:rPr>
      </w:pPr>
      <w:r>
        <w:rPr>
          <w:rFonts w:ascii="Century Gothic" w:hAnsi="Century Gothic"/>
          <w:sz w:val="20"/>
          <w:szCs w:val="20"/>
        </w:rPr>
        <w:t xml:space="preserve">Este quadro genérico esconde grandes disparidades regionais e nacionais. Os países que iniciaram reformas mais drásticas e que beneficiaram de uma relativa estabilidade política (República Checa, Hungria, Polónia) captaram importantes investimentos estrangeiros e grandes fluxos turísticos. Aí, o nível de vida ultrapassou rapidamente o antigo padrão comunista e as previsões de crescimento económico mantêm-se animadoras, devido, em parte, ao forte estimulo que constitui a sua recente adesão à União Europeia. </w:t>
      </w:r>
    </w:p>
    <w:p w:rsidR="00DB442B" w:rsidP="00377112">
      <w:pPr>
        <w:pStyle w:val="NoSpacing"/>
        <w:ind w:firstLine="709"/>
        <w:rPr>
          <w:rFonts w:ascii="Century Gothic" w:hAnsi="Century Gothic"/>
          <w:sz w:val="20"/>
          <w:szCs w:val="20"/>
        </w:rPr>
      </w:pPr>
    </w:p>
    <w:p w:rsidR="00DB442B" w:rsidRPr="00DB442B" w:rsidP="00377112">
      <w:pPr>
        <w:pStyle w:val="NoSpacing"/>
        <w:ind w:firstLine="709"/>
        <w:rPr>
          <w:rFonts w:ascii="Century Gothic" w:hAnsi="Century Gothic"/>
          <w:b/>
          <w:color w:val="E36C0A" w:themeColor="accent6" w:themeShade="BF"/>
          <w:sz w:val="20"/>
          <w:szCs w:val="20"/>
        </w:rPr>
      </w:pPr>
      <w:r w:rsidRPr="00DB442B">
        <w:rPr>
          <w:rFonts w:ascii="Century Gothic" w:hAnsi="Century Gothic"/>
          <w:b/>
          <w:color w:val="E36C0A" w:themeColor="accent6" w:themeShade="BF"/>
          <w:sz w:val="20"/>
          <w:szCs w:val="20"/>
        </w:rPr>
        <w:t xml:space="preserve">OS PÓLOS DE DESENVOLVIMENTO ECONÓMICO </w:t>
      </w:r>
    </w:p>
    <w:p w:rsidR="00DB442B" w:rsidP="00377112">
      <w:pPr>
        <w:pStyle w:val="NoSpacing"/>
        <w:ind w:firstLine="709"/>
        <w:rPr>
          <w:rFonts w:ascii="Century Gothic" w:hAnsi="Century Gothic"/>
          <w:sz w:val="20"/>
          <w:szCs w:val="20"/>
        </w:rPr>
      </w:pPr>
      <w:r>
        <w:rPr>
          <w:rFonts w:ascii="Century Gothic" w:hAnsi="Century Gothic"/>
          <w:sz w:val="20"/>
          <w:szCs w:val="20"/>
        </w:rPr>
        <w:t xml:space="preserve">Profundamente desigualitário, o mundo atual concentra a maior parte da sua riqueza e da sua capacidade tecnológica em três pólos de intenso desenvolvimento: os Estados Unidos, a União Europeia e a zona da Ásia-Pacífico. </w:t>
      </w:r>
    </w:p>
    <w:p w:rsidR="00CE63C9" w:rsidP="00377112">
      <w:pPr>
        <w:pStyle w:val="NoSpacing"/>
        <w:ind w:firstLine="709"/>
        <w:rPr>
          <w:rFonts w:ascii="Century Gothic" w:hAnsi="Century Gothic"/>
          <w:sz w:val="20"/>
          <w:szCs w:val="20"/>
        </w:rPr>
      </w:pPr>
    </w:p>
    <w:p w:rsidR="0029333E" w:rsidRPr="00722BC4" w:rsidP="00722BC4">
      <w:pPr>
        <w:pStyle w:val="NoSpacing"/>
        <w:numPr>
          <w:ilvl w:val="0"/>
          <w:numId w:val="8"/>
        </w:numPr>
        <w:rPr>
          <w:rFonts w:ascii="Century Gothic" w:hAnsi="Century Gothic"/>
          <w:b/>
          <w:color w:val="E36C0A" w:themeColor="accent6" w:themeShade="BF"/>
          <w:sz w:val="20"/>
          <w:szCs w:val="20"/>
        </w:rPr>
      </w:pPr>
      <w:r w:rsidRPr="00722BC4">
        <w:rPr>
          <w:rFonts w:ascii="Century Gothic" w:hAnsi="Century Gothic"/>
          <w:b/>
          <w:color w:val="E36C0A" w:themeColor="accent6" w:themeShade="BF"/>
          <w:sz w:val="20"/>
          <w:szCs w:val="20"/>
        </w:rPr>
        <w:t>A HEGEMONIA DOS ESTADOS UNIDOS</w:t>
      </w:r>
    </w:p>
    <w:p w:rsidR="0029333E" w:rsidRPr="003E6FC4" w:rsidP="0029333E">
      <w:pPr>
        <w:pStyle w:val="NoSpacing"/>
        <w:numPr>
          <w:ilvl w:val="1"/>
          <w:numId w:val="4"/>
        </w:numPr>
        <w:rPr>
          <w:rFonts w:ascii="Century Gothic" w:hAnsi="Century Gothic"/>
          <w:color w:val="E36C0A" w:themeColor="accent6" w:themeShade="BF"/>
          <w:sz w:val="20"/>
          <w:szCs w:val="20"/>
        </w:rPr>
      </w:pPr>
      <w:r>
        <w:rPr>
          <w:rFonts w:ascii="Century Gothic" w:hAnsi="Century Gothic"/>
          <w:color w:val="E36C0A" w:themeColor="accent6" w:themeShade="BF"/>
          <w:sz w:val="20"/>
          <w:szCs w:val="20"/>
        </w:rPr>
        <w:t>A prosperidade económica</w:t>
      </w:r>
    </w:p>
    <w:p w:rsidR="0029333E" w:rsidP="0029333E">
      <w:pPr>
        <w:pStyle w:val="NoSpacing"/>
        <w:ind w:firstLine="709"/>
        <w:rPr>
          <w:rFonts w:ascii="Century Gothic" w:hAnsi="Century Gothic"/>
          <w:sz w:val="20"/>
          <w:szCs w:val="20"/>
        </w:rPr>
      </w:pPr>
      <w:r>
        <w:rPr>
          <w:rFonts w:ascii="Century Gothic" w:hAnsi="Century Gothic"/>
          <w:sz w:val="20"/>
          <w:szCs w:val="20"/>
        </w:rPr>
        <w:t xml:space="preserve">Terra das oportunidades desde o seu nascimento, a América glorifica, ainda hoje, o espírito de iniciativa individual e a imagem do multimilionário bem-sucedido. </w:t>
      </w:r>
    </w:p>
    <w:p w:rsidR="0029333E" w:rsidP="0029333E">
      <w:pPr>
        <w:pStyle w:val="NoSpacing"/>
        <w:ind w:firstLine="709"/>
        <w:rPr>
          <w:rFonts w:ascii="Century Gothic" w:hAnsi="Century Gothic"/>
          <w:sz w:val="20"/>
          <w:szCs w:val="20"/>
        </w:rPr>
      </w:pPr>
      <w:r>
        <w:rPr>
          <w:rFonts w:ascii="Century Gothic" w:hAnsi="Century Gothic"/>
          <w:sz w:val="20"/>
          <w:szCs w:val="20"/>
        </w:rPr>
        <w:t xml:space="preserve">A “livre empresa” continua no centro da filosofia económica do país e o Estado incentiva-a, assegurando-lhe as condições de uma elevada competitividade: a carga fiscal é ligeira, os encargos com a segurança social diminutos e as restrições ao despedimento ou à deslocação de mão de obra quase não existem. </w:t>
      </w:r>
    </w:p>
    <w:p w:rsidR="0029333E" w:rsidP="0029333E">
      <w:pPr>
        <w:pStyle w:val="NoSpacing"/>
        <w:ind w:firstLine="709"/>
        <w:rPr>
          <w:rFonts w:ascii="Century Gothic" w:hAnsi="Century Gothic"/>
          <w:sz w:val="20"/>
          <w:szCs w:val="20"/>
        </w:rPr>
      </w:pPr>
      <w:r>
        <w:rPr>
          <w:rFonts w:ascii="Century Gothic" w:hAnsi="Century Gothic"/>
          <w:sz w:val="20"/>
          <w:szCs w:val="20"/>
        </w:rPr>
        <w:t xml:space="preserve">Pátrias de gigantescas multinacionais, os Estados Unidos vivem também de uma densa rede de pequenas empresas, algumas de grande dinamismo e espírito de inovação. Estes milhões de empresas proporcionaram a maior parte dos postos de trabalho do país. Com interesses económicos em todo o mundo, recetores de importantes investimentos estrangeiros e um mercado consumidor incontornável, os Estados Unidos são, hoje, o eixo da economia mundial. </w:t>
      </w:r>
    </w:p>
    <w:p w:rsidR="00D066F7" w:rsidP="0029333E">
      <w:pPr>
        <w:pStyle w:val="NoSpacing"/>
        <w:ind w:firstLine="709"/>
        <w:rPr>
          <w:rFonts w:ascii="Century Gothic" w:hAnsi="Century Gothic"/>
          <w:sz w:val="20"/>
          <w:szCs w:val="20"/>
        </w:rPr>
      </w:pPr>
    </w:p>
    <w:p w:rsidR="00D066F7" w:rsidP="0029333E">
      <w:pPr>
        <w:pStyle w:val="NoSpacing"/>
        <w:ind w:firstLine="709"/>
        <w:rPr>
          <w:rFonts w:ascii="Century Gothic" w:hAnsi="Century Gothic"/>
          <w:sz w:val="20"/>
          <w:szCs w:val="20"/>
        </w:rPr>
      </w:pPr>
    </w:p>
    <w:p w:rsidR="00D066F7" w:rsidP="0029333E">
      <w:pPr>
        <w:pStyle w:val="NoSpacing"/>
        <w:ind w:firstLine="709"/>
        <w:rPr>
          <w:rFonts w:ascii="Century Gothic" w:hAnsi="Century Gothic"/>
          <w:sz w:val="20"/>
          <w:szCs w:val="20"/>
        </w:rPr>
      </w:pPr>
    </w:p>
    <w:p w:rsidR="00D066F7" w:rsidP="0029333E">
      <w:pPr>
        <w:pStyle w:val="NoSpacing"/>
        <w:ind w:firstLine="709"/>
        <w:rPr>
          <w:rFonts w:ascii="Century Gothic" w:hAnsi="Century Gothic"/>
          <w:sz w:val="20"/>
          <w:szCs w:val="20"/>
        </w:rPr>
      </w:pPr>
    </w:p>
    <w:p w:rsidR="00D066F7" w:rsidP="0029333E">
      <w:pPr>
        <w:pStyle w:val="NoSpacing"/>
        <w:ind w:firstLine="709"/>
        <w:rPr>
          <w:rFonts w:ascii="Century Gothic" w:hAnsi="Century Gothic"/>
          <w:sz w:val="20"/>
          <w:szCs w:val="20"/>
        </w:rPr>
      </w:pPr>
    </w:p>
    <w:p w:rsidR="00201614" w:rsidP="0029333E">
      <w:pPr>
        <w:pStyle w:val="NoSpacing"/>
        <w:ind w:firstLine="709"/>
        <w:rPr>
          <w:rFonts w:ascii="Century Gothic" w:hAnsi="Century Gothic"/>
          <w:sz w:val="20"/>
          <w:szCs w:val="20"/>
        </w:rPr>
      </w:pPr>
    </w:p>
    <w:p w:rsidR="00201614" w:rsidRPr="003E6FC4" w:rsidP="00201614">
      <w:pPr>
        <w:pStyle w:val="NoSpacing"/>
        <w:numPr>
          <w:ilvl w:val="0"/>
          <w:numId w:val="5"/>
        </w:numPr>
        <w:rPr>
          <w:rFonts w:ascii="Century Gothic" w:hAnsi="Century Gothic"/>
          <w:color w:val="E36C0A" w:themeColor="accent6" w:themeShade="BF"/>
          <w:sz w:val="20"/>
          <w:szCs w:val="20"/>
        </w:rPr>
      </w:pPr>
      <w:r>
        <w:rPr>
          <w:rFonts w:ascii="Century Gothic" w:hAnsi="Century Gothic"/>
          <w:color w:val="E36C0A" w:themeColor="accent6" w:themeShade="BF"/>
          <w:sz w:val="20"/>
          <w:szCs w:val="20"/>
        </w:rPr>
        <w:t>Os setores de atividade</w:t>
      </w:r>
    </w:p>
    <w:p w:rsidR="00201614" w:rsidP="00201614">
      <w:pPr>
        <w:pStyle w:val="NoSpacing"/>
        <w:ind w:firstLine="709"/>
        <w:rPr>
          <w:rFonts w:ascii="Century Gothic" w:hAnsi="Century Gothic"/>
          <w:sz w:val="20"/>
          <w:szCs w:val="20"/>
        </w:rPr>
      </w:pPr>
      <w:r>
        <w:rPr>
          <w:rFonts w:ascii="Century Gothic" w:hAnsi="Century Gothic"/>
          <w:sz w:val="20"/>
          <w:szCs w:val="20"/>
        </w:rPr>
        <w:t>Marcadamente pós-industrial</w:t>
      </w:r>
      <w:r>
        <w:rPr>
          <w:rStyle w:val="FootnoteReference"/>
          <w:rFonts w:ascii="Century Gothic" w:hAnsi="Century Gothic"/>
          <w:sz w:val="20"/>
          <w:szCs w:val="20"/>
        </w:rPr>
        <w:footnoteReference w:id="3"/>
      </w:r>
      <w:r>
        <w:rPr>
          <w:rFonts w:ascii="Century Gothic" w:hAnsi="Century Gothic"/>
          <w:sz w:val="20"/>
          <w:szCs w:val="20"/>
        </w:rPr>
        <w:t xml:space="preserve">, a economia apresenta um claro predomínio do setor terciário (cerca de 75%). </w:t>
      </w:r>
    </w:p>
    <w:p w:rsidR="00201614" w:rsidP="00201614">
      <w:pPr>
        <w:pStyle w:val="NoSpacing"/>
        <w:ind w:firstLine="709"/>
        <w:rPr>
          <w:rFonts w:ascii="Century Gothic" w:hAnsi="Century Gothic"/>
          <w:sz w:val="20"/>
          <w:szCs w:val="20"/>
        </w:rPr>
      </w:pPr>
      <w:r>
        <w:rPr>
          <w:rFonts w:ascii="Century Gothic" w:hAnsi="Century Gothic"/>
          <w:sz w:val="20"/>
          <w:szCs w:val="20"/>
        </w:rPr>
        <w:t xml:space="preserve">Em conformidade, a América é, hoje, o maior exportador de serviços do Mundo, sobretudo na área dos seguros, transportes, restauração, cinema e música. </w:t>
      </w:r>
    </w:p>
    <w:p w:rsidR="00E82E92" w:rsidP="00201614">
      <w:pPr>
        <w:pStyle w:val="NoSpacing"/>
        <w:ind w:firstLine="709"/>
        <w:rPr>
          <w:rFonts w:ascii="Century Gothic" w:hAnsi="Century Gothic"/>
          <w:sz w:val="20"/>
          <w:szCs w:val="20"/>
        </w:rPr>
      </w:pPr>
      <w:r>
        <w:rPr>
          <w:rFonts w:ascii="Century Gothic" w:hAnsi="Century Gothic"/>
          <w:sz w:val="20"/>
          <w:szCs w:val="20"/>
        </w:rPr>
        <w:t xml:space="preserve">O predomínio do setor terciário não impede os setores agrícola e industrial, que ocupam um lugar cimeiro no conjunto das economias desenvolvidas. </w:t>
      </w:r>
    </w:p>
    <w:p w:rsidR="00E82E92" w:rsidP="00201614">
      <w:pPr>
        <w:pStyle w:val="NoSpacing"/>
        <w:ind w:firstLine="709"/>
        <w:rPr>
          <w:rFonts w:ascii="Century Gothic" w:hAnsi="Century Gothic"/>
          <w:sz w:val="20"/>
          <w:szCs w:val="20"/>
        </w:rPr>
      </w:pPr>
      <w:r>
        <w:rPr>
          <w:rFonts w:ascii="Century Gothic" w:hAnsi="Century Gothic"/>
          <w:sz w:val="20"/>
          <w:szCs w:val="20"/>
        </w:rPr>
        <w:t>Altamente mecanizadas</w:t>
      </w:r>
      <w:r>
        <w:rPr>
          <w:rStyle w:val="FootnoteReference"/>
          <w:rFonts w:ascii="Century Gothic" w:hAnsi="Century Gothic"/>
          <w:sz w:val="20"/>
          <w:szCs w:val="20"/>
        </w:rPr>
        <w:footnoteReference w:id="4"/>
      </w:r>
      <w:r w:rsidR="00A14184">
        <w:rPr>
          <w:rFonts w:ascii="Century Gothic" w:hAnsi="Century Gothic"/>
          <w:sz w:val="20"/>
          <w:szCs w:val="20"/>
        </w:rPr>
        <w:t xml:space="preserve">, sabendo rentabilizar os avanços científicos, as unidades agrícolas e pecuárias americanas têm uma elevadíssima produtividade. De tal forma que as grandes empresas não desdenham o investimento na agropecuária, como é o caso da Boeing, que também se dedica à criação de gado e da Coca-Cola, proprietária de vinhedos e pomares de citrinos. </w:t>
      </w:r>
    </w:p>
    <w:p w:rsidR="00A14184" w:rsidP="00201614">
      <w:pPr>
        <w:pStyle w:val="NoSpacing"/>
        <w:ind w:firstLine="709"/>
        <w:rPr>
          <w:rFonts w:ascii="Century Gothic" w:hAnsi="Century Gothic"/>
          <w:sz w:val="20"/>
          <w:szCs w:val="20"/>
        </w:rPr>
      </w:pPr>
      <w:r>
        <w:rPr>
          <w:rFonts w:ascii="Century Gothic" w:hAnsi="Century Gothic"/>
          <w:sz w:val="20"/>
          <w:szCs w:val="20"/>
        </w:rPr>
        <w:t xml:space="preserve">Apesar de algumas dificuldades geradas pela concorrência externa (sobretudo a UE) os Estados Unidos, mantêm-se os maiores exportadores de produtos agrícolas do mundo. </w:t>
      </w:r>
    </w:p>
    <w:p w:rsidR="00A14184" w:rsidP="00201614">
      <w:pPr>
        <w:pStyle w:val="NoSpacing"/>
        <w:ind w:firstLine="709"/>
        <w:rPr>
          <w:rFonts w:ascii="Century Gothic" w:hAnsi="Century Gothic"/>
          <w:sz w:val="20"/>
          <w:szCs w:val="20"/>
        </w:rPr>
      </w:pPr>
      <w:r>
        <w:rPr>
          <w:rFonts w:ascii="Century Gothic" w:hAnsi="Century Gothic"/>
          <w:sz w:val="20"/>
          <w:szCs w:val="20"/>
        </w:rPr>
        <w:t xml:space="preserve">Pelo seu dinamismo, a agricultura americana alimenta ainda um conjunto vasto de indústrias, desde a produção de sementes e maquinaria agrícola até à embalagem, comercialização e transformação dos seus produtos. </w:t>
      </w:r>
    </w:p>
    <w:p w:rsidR="00A14184" w:rsidP="00201614">
      <w:pPr>
        <w:pStyle w:val="NoSpacing"/>
        <w:ind w:firstLine="709"/>
        <w:rPr>
          <w:rFonts w:ascii="Century Gothic" w:hAnsi="Century Gothic"/>
          <w:sz w:val="20"/>
          <w:szCs w:val="20"/>
        </w:rPr>
      </w:pPr>
      <w:r>
        <w:rPr>
          <w:rFonts w:ascii="Century Gothic" w:hAnsi="Century Gothic"/>
          <w:sz w:val="20"/>
          <w:szCs w:val="20"/>
        </w:rPr>
        <w:t xml:space="preserve">Responsável por um quarto da produção mundial, a indústria americana sofreu uma reconversão profunda: os setores tradicionais, como a siderurgia e o têxtil entraram em declínio e decaiu também a importância económica da zona nordeste, o </w:t>
      </w:r>
      <w:r w:rsidRPr="00306637" w:rsidR="00306637">
        <w:rPr>
          <w:rFonts w:ascii="Century Gothic" w:hAnsi="Century Gothic"/>
          <w:i/>
          <w:sz w:val="20"/>
          <w:szCs w:val="20"/>
        </w:rPr>
        <w:t>Manufacturing Belt</w:t>
      </w:r>
      <w:r w:rsidR="00306637">
        <w:rPr>
          <w:rFonts w:ascii="Century Gothic" w:hAnsi="Century Gothic"/>
          <w:sz w:val="20"/>
          <w:szCs w:val="20"/>
        </w:rPr>
        <w:t xml:space="preserve">. </w:t>
      </w:r>
    </w:p>
    <w:p w:rsidR="00306637" w:rsidP="00201614">
      <w:pPr>
        <w:pStyle w:val="NoSpacing"/>
        <w:ind w:firstLine="709"/>
        <w:rPr>
          <w:rFonts w:ascii="Century Gothic" w:hAnsi="Century Gothic"/>
          <w:sz w:val="20"/>
          <w:szCs w:val="20"/>
        </w:rPr>
      </w:pPr>
      <w:r>
        <w:rPr>
          <w:rFonts w:ascii="Century Gothic" w:hAnsi="Century Gothic"/>
          <w:sz w:val="20"/>
          <w:szCs w:val="20"/>
        </w:rPr>
        <w:t xml:space="preserve">Esta zona, que se mantém o centro financeiro da América (Nova Iorque, Chicago), alberga as sedes sociais das grandes empresas e algumas das mais prestigiadas universidades americanas. No entanto, o declínio da velha indústria e a deslocalização de alguns ramos para as regiões do Sul relegou-a para o segundo lugar da hierarquia industrial, em favor do </w:t>
      </w:r>
      <w:r w:rsidRPr="00306637">
        <w:rPr>
          <w:rFonts w:ascii="Century Gothic" w:hAnsi="Century Gothic"/>
          <w:i/>
          <w:sz w:val="20"/>
          <w:szCs w:val="20"/>
        </w:rPr>
        <w:t xml:space="preserve">Sun Belt, </w:t>
      </w:r>
      <w:r>
        <w:rPr>
          <w:rFonts w:ascii="Century Gothic" w:hAnsi="Century Gothic"/>
          <w:sz w:val="20"/>
          <w:szCs w:val="20"/>
        </w:rPr>
        <w:t xml:space="preserve">uma extensa faixa sudoeste assim chamada em virtude do seu clima. </w:t>
      </w:r>
    </w:p>
    <w:p w:rsidR="00306637" w:rsidP="00201614">
      <w:pPr>
        <w:pStyle w:val="NoSpacing"/>
        <w:ind w:firstLine="709"/>
        <w:rPr>
          <w:rFonts w:ascii="Century Gothic" w:hAnsi="Century Gothic"/>
          <w:sz w:val="20"/>
          <w:szCs w:val="20"/>
        </w:rPr>
      </w:pPr>
      <w:r>
        <w:rPr>
          <w:rFonts w:ascii="Century Gothic" w:hAnsi="Century Gothic"/>
          <w:sz w:val="20"/>
          <w:szCs w:val="20"/>
        </w:rPr>
        <w:t xml:space="preserve">Em crescimento acelerado, a região do </w:t>
      </w:r>
      <w:r w:rsidRPr="00306637">
        <w:rPr>
          <w:rFonts w:ascii="Century Gothic" w:hAnsi="Century Gothic"/>
          <w:i/>
          <w:sz w:val="20"/>
          <w:szCs w:val="20"/>
        </w:rPr>
        <w:t>Sun Belt</w:t>
      </w:r>
      <w:r>
        <w:rPr>
          <w:rFonts w:ascii="Century Gothic" w:hAnsi="Century Gothic"/>
          <w:sz w:val="20"/>
          <w:szCs w:val="20"/>
        </w:rPr>
        <w:t xml:space="preserve"> beneficia de uma situação geográfica privilegiada para os contactos com o Pacífico e a América Latina e do dinamismo das indústrias da alta tecnologia que aí se instalaram (eletrónica, aeronáutica, aeroespacial, entre outras). </w:t>
      </w:r>
    </w:p>
    <w:p w:rsidR="00306637" w:rsidP="00201614">
      <w:pPr>
        <w:pStyle w:val="NoSpacing"/>
        <w:ind w:firstLine="709"/>
        <w:rPr>
          <w:rFonts w:ascii="Century Gothic" w:hAnsi="Century Gothic"/>
          <w:sz w:val="20"/>
          <w:szCs w:val="20"/>
        </w:rPr>
      </w:pPr>
    </w:p>
    <w:p w:rsidR="00306637" w:rsidRPr="003E6FC4" w:rsidP="00306637">
      <w:pPr>
        <w:pStyle w:val="NoSpacing"/>
        <w:numPr>
          <w:ilvl w:val="0"/>
          <w:numId w:val="6"/>
        </w:numPr>
        <w:rPr>
          <w:rFonts w:ascii="Century Gothic" w:hAnsi="Century Gothic"/>
          <w:color w:val="E36C0A" w:themeColor="accent6" w:themeShade="BF"/>
          <w:sz w:val="20"/>
          <w:szCs w:val="20"/>
        </w:rPr>
      </w:pPr>
      <w:r w:rsidRPr="003E6FC4">
        <w:rPr>
          <w:rFonts w:ascii="Century Gothic" w:hAnsi="Century Gothic"/>
          <w:color w:val="E36C0A" w:themeColor="accent6" w:themeShade="BF"/>
          <w:sz w:val="20"/>
          <w:szCs w:val="20"/>
        </w:rPr>
        <w:t xml:space="preserve">Novos laços comerciais </w:t>
      </w:r>
    </w:p>
    <w:p w:rsidR="00D3056B" w:rsidP="00D3056B">
      <w:pPr>
        <w:pStyle w:val="NoSpacing"/>
        <w:ind w:firstLine="709"/>
        <w:rPr>
          <w:rFonts w:ascii="Century Gothic" w:hAnsi="Century Gothic"/>
          <w:sz w:val="20"/>
          <w:szCs w:val="20"/>
        </w:rPr>
      </w:pPr>
      <w:r>
        <w:rPr>
          <w:rFonts w:ascii="Century Gothic" w:hAnsi="Century Gothic"/>
          <w:sz w:val="20"/>
          <w:szCs w:val="20"/>
        </w:rPr>
        <w:t xml:space="preserve">Numa tentativa de contrariar o predomínio comercial da União Europeia, Clinton procurou estimular as relações económicas com a região do Sudoeste Asiático, revitalizando a APEC (Cooperação Económica Ásia-Pacífico), criada em 1989. Já no mesmo sentido, o presidente impulsionou a criação da NAFTA (Acordo do Comércio Livre da América do Norte), que estipulava a livre circulação de mercadorias, serviços e capitais entre o México, Estados Unidos e Canadá e que possibilitava aos EUA obterem mão de obra mais barata e como vantagem para os outros países o aumento de trocas, embora consequentemente ficassem dependentes. </w:t>
      </w:r>
    </w:p>
    <w:p w:rsidR="00211519" w:rsidP="00D3056B">
      <w:pPr>
        <w:pStyle w:val="NoSpacing"/>
        <w:ind w:firstLine="709"/>
        <w:rPr>
          <w:rFonts w:ascii="Century Gothic" w:hAnsi="Century Gothic"/>
          <w:sz w:val="20"/>
          <w:szCs w:val="20"/>
        </w:rPr>
      </w:pPr>
      <w:r>
        <w:rPr>
          <w:rFonts w:ascii="Century Gothic" w:hAnsi="Century Gothic"/>
          <w:sz w:val="20"/>
          <w:szCs w:val="20"/>
        </w:rPr>
        <w:t xml:space="preserve">Entretanto, o projeto de criação de uma área de Livre Comércio das Américas (ALCA), que pretendia abranger todo o continente americano e que tinha objetivo de entrar em vigor em 2005 não se chegou a realizar dado que foi entravado pela oposição de um largo número de organizações latino-americanas, receosas de uma dependência crescente face aos EUA. </w:t>
      </w:r>
    </w:p>
    <w:p w:rsidR="00794332" w:rsidP="00D3056B">
      <w:pPr>
        <w:pStyle w:val="NoSpacing"/>
        <w:ind w:firstLine="709"/>
        <w:rPr>
          <w:rFonts w:ascii="Century Gothic" w:hAnsi="Century Gothic"/>
          <w:sz w:val="20"/>
          <w:szCs w:val="20"/>
        </w:rPr>
      </w:pPr>
    </w:p>
    <w:p w:rsidR="00794332" w:rsidP="00D3056B">
      <w:pPr>
        <w:pStyle w:val="NoSpacing"/>
        <w:ind w:firstLine="709"/>
        <w:rPr>
          <w:rFonts w:ascii="Century Gothic" w:hAnsi="Century Gothic"/>
          <w:sz w:val="20"/>
          <w:szCs w:val="20"/>
        </w:rPr>
      </w:pPr>
    </w:p>
    <w:p w:rsidR="00794332" w:rsidP="00D3056B">
      <w:pPr>
        <w:pStyle w:val="NoSpacing"/>
        <w:ind w:firstLine="709"/>
        <w:rPr>
          <w:rFonts w:ascii="Century Gothic" w:hAnsi="Century Gothic"/>
          <w:sz w:val="20"/>
          <w:szCs w:val="20"/>
        </w:rPr>
      </w:pPr>
    </w:p>
    <w:p w:rsidR="00794332" w:rsidP="00D3056B">
      <w:pPr>
        <w:pStyle w:val="NoSpacing"/>
        <w:ind w:firstLine="709"/>
        <w:rPr>
          <w:rFonts w:ascii="Century Gothic" w:hAnsi="Century Gothic"/>
          <w:sz w:val="20"/>
          <w:szCs w:val="20"/>
        </w:rPr>
      </w:pPr>
    </w:p>
    <w:p w:rsidR="00794332" w:rsidP="00D3056B">
      <w:pPr>
        <w:pStyle w:val="NoSpacing"/>
        <w:ind w:firstLine="709"/>
        <w:rPr>
          <w:rFonts w:ascii="Century Gothic" w:hAnsi="Century Gothic"/>
          <w:sz w:val="20"/>
          <w:szCs w:val="20"/>
        </w:rPr>
      </w:pPr>
    </w:p>
    <w:p w:rsidR="00794332" w:rsidP="00D3056B">
      <w:pPr>
        <w:pStyle w:val="NoSpacing"/>
        <w:ind w:firstLine="709"/>
        <w:rPr>
          <w:rFonts w:ascii="Century Gothic" w:hAnsi="Century Gothic"/>
          <w:sz w:val="20"/>
          <w:szCs w:val="20"/>
        </w:rPr>
      </w:pPr>
    </w:p>
    <w:p w:rsidR="0004412F" w:rsidRPr="00794332" w:rsidP="00D3056B">
      <w:pPr>
        <w:pStyle w:val="NoSpacing"/>
        <w:ind w:firstLine="709"/>
        <w:rPr>
          <w:rFonts w:ascii="Century Gothic" w:hAnsi="Century Gothic"/>
          <w:color w:val="E36C0A" w:themeColor="accent6" w:themeShade="BF"/>
          <w:sz w:val="20"/>
          <w:szCs w:val="20"/>
        </w:rPr>
      </w:pPr>
    </w:p>
    <w:p w:rsidR="00211519" w:rsidRPr="00794332" w:rsidP="00211519">
      <w:pPr>
        <w:pStyle w:val="NoSpacing"/>
        <w:numPr>
          <w:ilvl w:val="1"/>
          <w:numId w:val="4"/>
        </w:numPr>
        <w:rPr>
          <w:rFonts w:ascii="Century Gothic" w:hAnsi="Century Gothic"/>
          <w:color w:val="E36C0A" w:themeColor="accent6" w:themeShade="BF"/>
          <w:sz w:val="20"/>
          <w:szCs w:val="20"/>
        </w:rPr>
      </w:pPr>
      <w:r w:rsidRPr="00794332">
        <w:rPr>
          <w:rFonts w:ascii="Century Gothic" w:hAnsi="Century Gothic"/>
          <w:color w:val="E36C0A" w:themeColor="accent6" w:themeShade="BF"/>
          <w:sz w:val="20"/>
          <w:szCs w:val="20"/>
        </w:rPr>
        <w:t>O dinamismo científico-tecnológico</w:t>
      </w:r>
    </w:p>
    <w:p w:rsidR="00211519" w:rsidP="00211519">
      <w:pPr>
        <w:pStyle w:val="NoSpacing"/>
        <w:ind w:firstLine="709"/>
        <w:rPr>
          <w:rFonts w:ascii="Century Gothic" w:hAnsi="Century Gothic"/>
          <w:sz w:val="20"/>
          <w:szCs w:val="20"/>
        </w:rPr>
      </w:pPr>
      <w:r>
        <w:rPr>
          <w:rFonts w:ascii="Century Gothic" w:hAnsi="Century Gothic"/>
          <w:sz w:val="20"/>
          <w:szCs w:val="20"/>
        </w:rPr>
        <w:t>Tal como nos tempos da Guerra Fria, os Estados Unidos são, hoje, a nação que mais gasta em investigação científica, disponibilizando verbas que excedem o conjunto dos seus parceiros do G8</w:t>
      </w:r>
      <w:r>
        <w:rPr>
          <w:rStyle w:val="FootnoteReference"/>
          <w:rFonts w:ascii="Century Gothic" w:hAnsi="Century Gothic"/>
          <w:sz w:val="20"/>
          <w:szCs w:val="20"/>
        </w:rPr>
        <w:footnoteReference w:id="5"/>
      </w:r>
      <w:r>
        <w:rPr>
          <w:rFonts w:ascii="Century Gothic" w:hAnsi="Century Gothic"/>
          <w:sz w:val="20"/>
          <w:szCs w:val="20"/>
        </w:rPr>
        <w:t>.</w:t>
      </w:r>
    </w:p>
    <w:p w:rsidR="00211519" w:rsidP="00211519">
      <w:pPr>
        <w:pStyle w:val="NoSpacing"/>
        <w:ind w:firstLine="709"/>
        <w:rPr>
          <w:rFonts w:ascii="Century Gothic" w:hAnsi="Century Gothic"/>
          <w:sz w:val="20"/>
          <w:szCs w:val="20"/>
        </w:rPr>
      </w:pPr>
      <w:r>
        <w:rPr>
          <w:rFonts w:ascii="Century Gothic" w:hAnsi="Century Gothic"/>
          <w:sz w:val="20"/>
          <w:szCs w:val="20"/>
        </w:rPr>
        <w:t xml:space="preserve">O Estado Federal tem um papel decisivo no fomento da pesquisa privada, quer através do seu financiamento, quer das gigantescas encomendas de sofisticado material militar e paramilitar. </w:t>
      </w:r>
    </w:p>
    <w:p w:rsidR="00076056" w:rsidP="00211519">
      <w:pPr>
        <w:pStyle w:val="NoSpacing"/>
        <w:ind w:firstLine="709"/>
        <w:rPr>
          <w:rFonts w:ascii="Century Gothic" w:hAnsi="Century Gothic"/>
          <w:sz w:val="20"/>
          <w:szCs w:val="20"/>
        </w:rPr>
      </w:pPr>
      <w:r>
        <w:rPr>
          <w:rFonts w:ascii="Century Gothic" w:hAnsi="Century Gothic"/>
          <w:sz w:val="20"/>
          <w:szCs w:val="20"/>
        </w:rPr>
        <w:t xml:space="preserve">O avanço americano fica, também, a dever-se à criação precoce de parques tecnológicos – os tecnopolos – que associam universidades prestigiadas, centros de pesquisa e empresas, que trabalham de forma articulada. Um dos mais famosos situa-se em Silicon Valley, na Califórnia, e foi o berço da Internet. </w:t>
      </w:r>
    </w:p>
    <w:p w:rsidR="003E6FC4" w:rsidP="00211519">
      <w:pPr>
        <w:pStyle w:val="NoSpacing"/>
        <w:ind w:firstLine="709"/>
        <w:rPr>
          <w:rFonts w:ascii="Century Gothic" w:hAnsi="Century Gothic"/>
          <w:sz w:val="20"/>
          <w:szCs w:val="20"/>
        </w:rPr>
      </w:pPr>
    </w:p>
    <w:p w:rsidR="003E6FC4" w:rsidRPr="00794332" w:rsidP="003E6FC4">
      <w:pPr>
        <w:pStyle w:val="NoSpacing"/>
        <w:numPr>
          <w:ilvl w:val="1"/>
          <w:numId w:val="4"/>
        </w:numPr>
        <w:rPr>
          <w:rFonts w:ascii="Century Gothic" w:hAnsi="Century Gothic"/>
          <w:color w:val="E36C0A" w:themeColor="accent6" w:themeShade="BF"/>
          <w:sz w:val="20"/>
          <w:szCs w:val="20"/>
        </w:rPr>
      </w:pPr>
      <w:r w:rsidRPr="00794332">
        <w:rPr>
          <w:rFonts w:ascii="Century Gothic" w:hAnsi="Century Gothic"/>
          <w:color w:val="E36C0A" w:themeColor="accent6" w:themeShade="BF"/>
          <w:sz w:val="20"/>
          <w:szCs w:val="20"/>
        </w:rPr>
        <w:t>A hegemonia político-militar</w:t>
      </w:r>
    </w:p>
    <w:p w:rsidR="00962D4C" w:rsidP="00962D4C">
      <w:pPr>
        <w:pStyle w:val="NoSpacing"/>
        <w:ind w:firstLine="709"/>
        <w:rPr>
          <w:rFonts w:ascii="Century Gothic" w:hAnsi="Century Gothic"/>
          <w:sz w:val="20"/>
          <w:szCs w:val="20"/>
        </w:rPr>
      </w:pPr>
      <w:r>
        <w:rPr>
          <w:rFonts w:ascii="Century Gothic" w:hAnsi="Century Gothic"/>
          <w:sz w:val="20"/>
          <w:szCs w:val="20"/>
        </w:rPr>
        <w:t xml:space="preserve">No início dos anos 90, o fim da Guerra Fria trouxe ao mundo a esperança de uma época nova, de paz e cooperação entre as nações. Deste modo, George Bush (pai), presidente dos Estados Unidos defendia a criação de uma “nova ordem mundial” orientada pelos valores que, em 1945, tinham feito nascer a ONU. </w:t>
      </w:r>
    </w:p>
    <w:p w:rsidR="005123DD" w:rsidP="00962D4C">
      <w:pPr>
        <w:pStyle w:val="NoSpacing"/>
        <w:ind w:firstLine="709"/>
        <w:rPr>
          <w:rFonts w:ascii="Century Gothic" w:hAnsi="Century Gothic"/>
          <w:sz w:val="20"/>
          <w:szCs w:val="20"/>
        </w:rPr>
      </w:pPr>
      <w:r>
        <w:rPr>
          <w:rFonts w:ascii="Century Gothic" w:hAnsi="Century Gothic"/>
          <w:sz w:val="20"/>
          <w:szCs w:val="20"/>
        </w:rPr>
        <w:t xml:space="preserve">É através desta nova ordem, que se pretende criar, que as Nações Unidas aprovam uma operação militar multinacional com o fim de repor a soberania do Kuwait, pequeno país petrolífero do Golfo Pérsico, invadido em agosto de 1990, pelo Iraque. </w:t>
      </w:r>
    </w:p>
    <w:p w:rsidR="00686A29" w:rsidP="00962D4C">
      <w:pPr>
        <w:pStyle w:val="NoSpacing"/>
        <w:ind w:firstLine="709"/>
        <w:rPr>
          <w:rFonts w:ascii="Century Gothic" w:hAnsi="Century Gothic"/>
          <w:sz w:val="20"/>
          <w:szCs w:val="20"/>
        </w:rPr>
      </w:pPr>
      <w:r>
        <w:rPr>
          <w:rFonts w:ascii="Century Gothic" w:hAnsi="Century Gothic"/>
          <w:sz w:val="20"/>
          <w:szCs w:val="20"/>
        </w:rPr>
        <w:t xml:space="preserve">Esta “Tempestade do Deserto” foi o primeiro conflito mediatizado (janeiro de 1991) e deveu-se ao facto do Kuwait ter ultrapassado as quotas de exportação do petróleo, pondo em causa a hegemonia do Iraque, que pretendia dominar a exportação do petróleo. </w:t>
      </w:r>
    </w:p>
    <w:p w:rsidR="000B5A16" w:rsidP="00962D4C">
      <w:pPr>
        <w:pStyle w:val="NoSpacing"/>
        <w:ind w:firstLine="709"/>
        <w:rPr>
          <w:rFonts w:ascii="Century Gothic" w:hAnsi="Century Gothic"/>
          <w:sz w:val="20"/>
          <w:szCs w:val="20"/>
        </w:rPr>
      </w:pPr>
      <w:r>
        <w:rPr>
          <w:rFonts w:ascii="Century Gothic" w:hAnsi="Century Gothic"/>
          <w:sz w:val="20"/>
          <w:szCs w:val="20"/>
        </w:rPr>
        <w:t>Utilizaram-se, deste modo, armas sofisticadas, a aviação bombardeou pontos importantes em Bagdad, atacou Israel que se encontrava como apoiante dos EUA (capitalismo), pretendendo-se com isto criar confusão com as forças ocidentais.</w:t>
      </w:r>
    </w:p>
    <w:p w:rsidR="000B5A16" w:rsidP="00962D4C">
      <w:pPr>
        <w:pStyle w:val="NoSpacing"/>
        <w:ind w:firstLine="709"/>
        <w:rPr>
          <w:rFonts w:ascii="Century Gothic" w:hAnsi="Century Gothic"/>
          <w:sz w:val="20"/>
          <w:szCs w:val="20"/>
        </w:rPr>
      </w:pPr>
      <w:r>
        <w:rPr>
          <w:rFonts w:ascii="Century Gothic" w:hAnsi="Century Gothic"/>
          <w:sz w:val="20"/>
          <w:szCs w:val="20"/>
        </w:rPr>
        <w:t xml:space="preserve">O exército do Iraque, embora o quatro maior do mundo, tivera sido derrotado pelos EUA. A Guerra tivera sido dividida em duas etapas: primeiro aérea e a segunda terrestre, semelhante à Segunda Guerra Mundial com a guerra das trincheiras. </w:t>
      </w:r>
    </w:p>
    <w:p w:rsidR="000B5A16" w:rsidP="00962D4C">
      <w:pPr>
        <w:pStyle w:val="NoSpacing"/>
        <w:ind w:firstLine="709"/>
        <w:rPr>
          <w:rFonts w:ascii="Century Gothic" w:hAnsi="Century Gothic"/>
          <w:sz w:val="20"/>
          <w:szCs w:val="20"/>
        </w:rPr>
      </w:pPr>
      <w:r>
        <w:rPr>
          <w:rFonts w:ascii="Century Gothic" w:hAnsi="Century Gothic"/>
          <w:sz w:val="20"/>
          <w:szCs w:val="20"/>
        </w:rPr>
        <w:t xml:space="preserve">Com o fim da guerra o Kuwait recupera a sua soberania, havendo muitas perdas no Iraque. </w:t>
      </w:r>
    </w:p>
    <w:p w:rsidR="000B5A16" w:rsidP="00962D4C">
      <w:pPr>
        <w:pStyle w:val="NoSpacing"/>
        <w:ind w:firstLine="709"/>
        <w:rPr>
          <w:rFonts w:ascii="Century Gothic" w:hAnsi="Century Gothic"/>
          <w:sz w:val="20"/>
          <w:szCs w:val="20"/>
        </w:rPr>
      </w:pPr>
      <w:r>
        <w:rPr>
          <w:rFonts w:ascii="Century Gothic" w:hAnsi="Century Gothic"/>
          <w:sz w:val="20"/>
          <w:szCs w:val="20"/>
        </w:rPr>
        <w:t>Este primeiro conflito pós-Guerra Fria inaugurou a época de hegemonia mundial americana. O fim da URSS deixou os Estados Unidos sem rival de vulto na cena político-militar: O Japão, pouco despende com a defesa e a União Europeia não consegue encontrar uma verdadeira política externa comum.</w:t>
      </w:r>
    </w:p>
    <w:p w:rsidR="004B52E8" w:rsidP="00962D4C">
      <w:pPr>
        <w:pStyle w:val="NoSpacing"/>
        <w:ind w:firstLine="709"/>
        <w:rPr>
          <w:rFonts w:ascii="Century Gothic" w:hAnsi="Century Gothic"/>
          <w:sz w:val="20"/>
          <w:szCs w:val="20"/>
        </w:rPr>
      </w:pPr>
      <w:r>
        <w:rPr>
          <w:rFonts w:ascii="Century Gothic" w:hAnsi="Century Gothic"/>
          <w:sz w:val="20"/>
          <w:szCs w:val="20"/>
        </w:rPr>
        <w:t>Assim, o poderio americano afirmou-se, apoiando pelo gigantismo económico e pelo investimento maciço no complexo industrial.</w:t>
      </w:r>
    </w:p>
    <w:p w:rsidR="004B52E8" w:rsidP="00962D4C">
      <w:pPr>
        <w:pStyle w:val="NoSpacing"/>
        <w:ind w:firstLine="709"/>
        <w:rPr>
          <w:rFonts w:ascii="Century Gothic" w:hAnsi="Century Gothic"/>
          <w:sz w:val="20"/>
          <w:szCs w:val="20"/>
        </w:rPr>
      </w:pPr>
      <w:r>
        <w:rPr>
          <w:rFonts w:ascii="Century Gothic" w:hAnsi="Century Gothic"/>
          <w:sz w:val="20"/>
          <w:szCs w:val="20"/>
        </w:rPr>
        <w:t xml:space="preserve">Única superpotência, os EUA têm sido considerados, os “polícias do Mundo”, em virtude do papel preponderante e ativo que têm desempenhado na geopolítica do Globo. Assim: </w:t>
      </w:r>
    </w:p>
    <w:p w:rsidR="005123DD" w:rsidP="00962D4C">
      <w:pPr>
        <w:pStyle w:val="NoSpacing"/>
        <w:ind w:firstLine="709"/>
        <w:rPr>
          <w:rFonts w:ascii="Century Gothic" w:hAnsi="Century Gothic"/>
          <w:sz w:val="20"/>
          <w:szCs w:val="20"/>
        </w:rPr>
      </w:pPr>
      <w:r>
        <w:rPr>
          <w:rFonts w:ascii="Century Gothic" w:hAnsi="Century Gothic"/>
          <w:sz w:val="20"/>
          <w:szCs w:val="20"/>
        </w:rPr>
        <w:t>- Multiplicaram a imposição de sanções económicas (interdição de venda de produtos tecnológicos, alimentares…) como recurso para punir os “infratores” que violam os direitos humanos, repressão política, suporte de organizações terroristas ou agressões militares;</w:t>
      </w:r>
    </w:p>
    <w:p w:rsidR="00A366E9" w:rsidP="00962D4C">
      <w:pPr>
        <w:pStyle w:val="NoSpacing"/>
        <w:ind w:firstLine="709"/>
        <w:rPr>
          <w:rFonts w:ascii="Century Gothic" w:hAnsi="Century Gothic"/>
          <w:sz w:val="20"/>
          <w:szCs w:val="20"/>
        </w:rPr>
      </w:pPr>
      <w:r>
        <w:rPr>
          <w:rFonts w:ascii="Century Gothic" w:hAnsi="Century Gothic"/>
          <w:sz w:val="20"/>
          <w:szCs w:val="20"/>
        </w:rPr>
        <w:t>- Reforçaram o papel da OTAN que, com o fim do comunismo na Rússia e a dissolução do Pacto de Varsóvia, teria, à partida, perdido a sua razão de existir. Contrariando a sua vocação defensiva, a OTAN atribuiu a si própria, desde 1991, a função de velar pela segurança da Europa recorrendo, sempre que necessário, à intervenção militar armada;</w:t>
      </w:r>
    </w:p>
    <w:p w:rsidR="00A366E9" w:rsidP="00962D4C">
      <w:pPr>
        <w:pStyle w:val="NoSpacing"/>
        <w:ind w:firstLine="709"/>
        <w:rPr>
          <w:rFonts w:ascii="Century Gothic" w:hAnsi="Century Gothic"/>
          <w:sz w:val="20"/>
          <w:szCs w:val="20"/>
        </w:rPr>
      </w:pPr>
      <w:r>
        <w:rPr>
          <w:rFonts w:ascii="Century Gothic" w:hAnsi="Century Gothic"/>
          <w:sz w:val="20"/>
          <w:szCs w:val="20"/>
        </w:rPr>
        <w:t xml:space="preserve">- Assumiram um papel militar ativo, encabeçando numerosas intervenções armadas pelos motivos mais díspares, desde as causas humanitárias ao combate do terrorismo ou à destituição de regimes repressivos. </w:t>
      </w:r>
    </w:p>
    <w:p w:rsidR="00A366E9" w:rsidP="00962D4C">
      <w:pPr>
        <w:pStyle w:val="NoSpacing"/>
        <w:ind w:firstLine="709"/>
        <w:rPr>
          <w:rFonts w:ascii="Century Gothic" w:hAnsi="Century Gothic"/>
          <w:sz w:val="20"/>
          <w:szCs w:val="20"/>
        </w:rPr>
      </w:pPr>
    </w:p>
    <w:p w:rsidR="00A366E9" w:rsidRPr="00794332" w:rsidP="00722BC4">
      <w:pPr>
        <w:pStyle w:val="NoSpacing"/>
        <w:numPr>
          <w:ilvl w:val="0"/>
          <w:numId w:val="8"/>
        </w:numPr>
        <w:rPr>
          <w:rFonts w:ascii="Century Gothic" w:hAnsi="Century Gothic"/>
          <w:b/>
          <w:color w:val="E36C0A" w:themeColor="accent6" w:themeShade="BF"/>
          <w:sz w:val="20"/>
          <w:szCs w:val="20"/>
        </w:rPr>
      </w:pPr>
      <w:r w:rsidRPr="00794332">
        <w:rPr>
          <w:rFonts w:ascii="Century Gothic" w:hAnsi="Century Gothic"/>
          <w:b/>
          <w:color w:val="E36C0A" w:themeColor="accent6" w:themeShade="BF"/>
          <w:sz w:val="20"/>
          <w:szCs w:val="20"/>
        </w:rPr>
        <w:t>A UNIÃO EUROPEIA</w:t>
      </w:r>
    </w:p>
    <w:p w:rsidR="00A366E9" w:rsidRPr="00794332" w:rsidP="00A366E9">
      <w:pPr>
        <w:pStyle w:val="NoSpacing"/>
        <w:numPr>
          <w:ilvl w:val="1"/>
          <w:numId w:val="4"/>
        </w:numPr>
        <w:rPr>
          <w:rFonts w:ascii="Century Gothic" w:hAnsi="Century Gothic"/>
          <w:color w:val="E36C0A" w:themeColor="accent6" w:themeShade="BF"/>
          <w:sz w:val="20"/>
          <w:szCs w:val="20"/>
        </w:rPr>
      </w:pPr>
      <w:r w:rsidRPr="00794332">
        <w:rPr>
          <w:rFonts w:ascii="Century Gothic" w:hAnsi="Century Gothic"/>
          <w:color w:val="E36C0A" w:themeColor="accent6" w:themeShade="BF"/>
          <w:sz w:val="20"/>
          <w:szCs w:val="20"/>
        </w:rPr>
        <w:t>A consolidação da Comunidade: do Ato Único à moeda única</w:t>
      </w:r>
    </w:p>
    <w:p w:rsidR="00A366E9" w:rsidP="00A366E9">
      <w:pPr>
        <w:pStyle w:val="NoSpacing"/>
        <w:ind w:firstLine="709"/>
        <w:rPr>
          <w:rFonts w:ascii="Century Gothic" w:hAnsi="Century Gothic"/>
          <w:sz w:val="20"/>
          <w:szCs w:val="20"/>
        </w:rPr>
      </w:pPr>
      <w:r>
        <w:rPr>
          <w:rFonts w:ascii="Century Gothic" w:hAnsi="Century Gothic"/>
          <w:noProof/>
          <w:sz w:val="20"/>
          <w:szCs w:val="20"/>
          <w:lang w:eastAsia="pt-PT"/>
        </w:rPr>
        <w:pict>
          <v:shape id="_x0000_s1027" type="#_x0000_t202" style="height:63.1pt;margin-left:8.8pt;margin-top:32.85pt;position:absolute;width:169.15pt;z-index:-251652096" strokecolor="#e36c0a">
            <v:textbox style="mso-fit-shape-to-text:t">
              <w:txbxContent>
                <w:p w:rsidR="002C5F61" w:rsidRPr="00371F9E" w:rsidP="00371F9E">
                  <w:pPr>
                    <w:pStyle w:val="NoSpacing"/>
                    <w:rPr>
                      <w:rFonts w:ascii="Century Gothic" w:hAnsi="Century Gothic"/>
                      <w:sz w:val="18"/>
                      <w:szCs w:val="18"/>
                    </w:rPr>
                  </w:pPr>
                  <w:r w:rsidRPr="00371F9E">
                    <w:rPr>
                      <w:rFonts w:ascii="Century Gothic" w:hAnsi="Century Gothic"/>
                      <w:color w:val="E36C0A" w:themeColor="accent6" w:themeShade="BF"/>
                      <w:sz w:val="18"/>
                      <w:szCs w:val="18"/>
                    </w:rPr>
                    <w:t>União aduaneira:</w:t>
                  </w:r>
                  <w:r>
                    <w:rPr>
                      <w:rFonts w:ascii="Century Gothic" w:hAnsi="Century Gothic"/>
                      <w:sz w:val="18"/>
                      <w:szCs w:val="18"/>
                    </w:rPr>
                    <w:t xml:space="preserve"> livre circulação de mercadorias e a adoção, pelos estados-membros de uma mesma estrutura tarifária para o comércio com o exterior.</w:t>
                  </w:r>
                </w:p>
              </w:txbxContent>
            </v:textbox>
            <w10:wrap type="tight"/>
          </v:shape>
        </w:pict>
      </w:r>
      <w:r w:rsidR="00A366E9">
        <w:rPr>
          <w:rFonts w:ascii="Century Gothic" w:hAnsi="Century Gothic"/>
          <w:sz w:val="20"/>
          <w:szCs w:val="20"/>
        </w:rPr>
        <w:t xml:space="preserve">Embora o Tratado de Roma abrisse perspetivas para uma completa integração económica e, até, de uma futura união política, o primeiro grande objetivo da CEE foi a união aduaneira, que se concretizou em 1968. </w:t>
      </w:r>
    </w:p>
    <w:p w:rsidR="00A366E9" w:rsidP="00A366E9">
      <w:pPr>
        <w:pStyle w:val="NoSpacing"/>
        <w:ind w:firstLine="709"/>
        <w:rPr>
          <w:rFonts w:ascii="Century Gothic" w:hAnsi="Century Gothic"/>
          <w:sz w:val="20"/>
          <w:szCs w:val="20"/>
        </w:rPr>
      </w:pPr>
      <w:r>
        <w:rPr>
          <w:rFonts w:ascii="Century Gothic" w:hAnsi="Century Gothic"/>
          <w:sz w:val="20"/>
          <w:szCs w:val="20"/>
        </w:rPr>
        <w:t xml:space="preserve">A CEE foi criando um conjunto de instituições progressivamente mais elaboradas e atuantes, ao mesmo tempo que alargava o âmbito da sua intervenção na esfera económica e social. </w:t>
      </w:r>
    </w:p>
    <w:p w:rsidR="00E56FF1" w:rsidP="00A366E9">
      <w:pPr>
        <w:pStyle w:val="NoSpacing"/>
        <w:ind w:firstLine="709"/>
        <w:rPr>
          <w:rFonts w:ascii="Century Gothic" w:hAnsi="Century Gothic"/>
          <w:sz w:val="20"/>
          <w:szCs w:val="20"/>
        </w:rPr>
      </w:pPr>
      <w:r>
        <w:rPr>
          <w:rFonts w:ascii="Century Gothic" w:hAnsi="Century Gothic"/>
          <w:noProof/>
          <w:sz w:val="20"/>
          <w:szCs w:val="20"/>
          <w:lang w:eastAsia="pt-PT"/>
        </w:rPr>
        <w:pict>
          <v:shape id="_x0000_s1028" type="#_x0000_t202" style="height:118.3pt;margin-left:253.7pt;margin-top:29.75pt;position:absolute;width:169pt;z-index:-251653120" strokecolor="#e36c0a">
            <v:textbox style="mso-fit-shape-to-text:t">
              <w:txbxContent>
                <w:p w:rsidR="002C5F61" w:rsidRPr="00371F9E" w:rsidP="00371F9E">
                  <w:pPr>
                    <w:pStyle w:val="NoSpacing"/>
                    <w:rPr>
                      <w:rFonts w:ascii="Century Gothic" w:hAnsi="Century Gothic"/>
                      <w:sz w:val="18"/>
                      <w:szCs w:val="18"/>
                    </w:rPr>
                  </w:pPr>
                  <w:r w:rsidRPr="00371F9E">
                    <w:rPr>
                      <w:rFonts w:ascii="Century Gothic" w:hAnsi="Century Gothic"/>
                      <w:sz w:val="18"/>
                      <w:szCs w:val="18"/>
                    </w:rPr>
                    <w:t>A eliminação das barreiras físicas à circulação (fim dos controlos fronteiriços internos) foi estabelecido pelo Acordo de Schengen (1985) entre a Bélgica, os países Baixos, Luxemburgo, França e a Alemanha. Mais tarde, aderiram ao Acordo os restantes países da União, à exceção da Irlanda e Reino Unido.</w:t>
                  </w:r>
                </w:p>
              </w:txbxContent>
            </v:textbox>
            <w10:wrap type="tight"/>
          </v:shape>
        </w:pict>
      </w:r>
      <w:r w:rsidR="00E56FF1">
        <w:rPr>
          <w:rFonts w:ascii="Century Gothic" w:hAnsi="Century Gothic"/>
          <w:sz w:val="20"/>
          <w:szCs w:val="20"/>
        </w:rPr>
        <w:t>Os estados-membros acordaram o estabelecimento de uma política agrícola comum, de ações concertadas de combate ao desemprego, de ajudas às regiões menos favorecidas, de um sistema monetário europeu</w:t>
      </w:r>
      <w:r>
        <w:rPr>
          <w:rStyle w:val="FootnoteReference"/>
          <w:rFonts w:ascii="Century Gothic" w:hAnsi="Century Gothic"/>
          <w:sz w:val="20"/>
          <w:szCs w:val="20"/>
        </w:rPr>
        <w:footnoteReference w:id="6"/>
      </w:r>
      <w:r w:rsidR="00E56FF1">
        <w:rPr>
          <w:rFonts w:ascii="Century Gothic" w:hAnsi="Century Gothic"/>
          <w:sz w:val="20"/>
          <w:szCs w:val="20"/>
        </w:rPr>
        <w:t xml:space="preserve">, entre outras medidas. </w:t>
      </w:r>
    </w:p>
    <w:p w:rsidR="00E56FF1" w:rsidP="00A366E9">
      <w:pPr>
        <w:pStyle w:val="NoSpacing"/>
        <w:ind w:firstLine="709"/>
        <w:rPr>
          <w:rFonts w:ascii="Century Gothic" w:hAnsi="Century Gothic"/>
          <w:sz w:val="20"/>
          <w:szCs w:val="20"/>
        </w:rPr>
      </w:pPr>
      <w:r>
        <w:rPr>
          <w:rFonts w:ascii="Century Gothic" w:hAnsi="Century Gothic"/>
          <w:sz w:val="20"/>
          <w:szCs w:val="20"/>
        </w:rPr>
        <w:t xml:space="preserve">Apesar destes avanços, no início dos anos 80, a Comunidade enfraqueceu e havia uma descrença nas suas potencialidades e no seu futuro, sendo que só em 1985, graças à ação do novo presidente da Comissão Europeia, Jacques Delors, a Comunidade reencontra a dinâmica perdida. </w:t>
      </w:r>
    </w:p>
    <w:p w:rsidR="00E56FF1" w:rsidP="00A366E9">
      <w:pPr>
        <w:pStyle w:val="NoSpacing"/>
        <w:ind w:firstLine="709"/>
        <w:rPr>
          <w:rFonts w:ascii="Century Gothic" w:hAnsi="Century Gothic"/>
          <w:sz w:val="20"/>
          <w:szCs w:val="20"/>
        </w:rPr>
      </w:pPr>
      <w:r>
        <w:rPr>
          <w:rFonts w:ascii="Century Gothic" w:hAnsi="Century Gothic"/>
          <w:sz w:val="20"/>
          <w:szCs w:val="20"/>
        </w:rPr>
        <w:t xml:space="preserve">Com o objetivo de relançar o projeto europeu, Delors concentrou-se no avanço da união económica levando em 1986, através dos esforços do novo presidente, à assinatura do Ato Único Europeu, que previa, para 1993, o estabelecimento de um mercado único onde, para além de mercadorias, circulassem, livremente, pessoas, capitais e serviços. </w:t>
      </w:r>
    </w:p>
    <w:p w:rsidR="00E56FF1" w:rsidP="00A366E9">
      <w:pPr>
        <w:pStyle w:val="NoSpacing"/>
        <w:ind w:firstLine="709"/>
        <w:rPr>
          <w:rFonts w:ascii="Century Gothic" w:hAnsi="Century Gothic"/>
          <w:sz w:val="20"/>
          <w:szCs w:val="20"/>
        </w:rPr>
      </w:pPr>
      <w:r>
        <w:rPr>
          <w:rFonts w:ascii="Century Gothic" w:hAnsi="Century Gothic"/>
          <w:sz w:val="20"/>
          <w:szCs w:val="20"/>
        </w:rPr>
        <w:t xml:space="preserve">A fim de viabilizar este acordo, Delors fez publicar um </w:t>
      </w:r>
      <w:r w:rsidRPr="00E56FF1">
        <w:rPr>
          <w:rFonts w:ascii="Century Gothic" w:hAnsi="Century Gothic"/>
          <w:i/>
          <w:sz w:val="20"/>
          <w:szCs w:val="20"/>
        </w:rPr>
        <w:t xml:space="preserve">Livro Branco, </w:t>
      </w:r>
      <w:r w:rsidRPr="00E56FF1">
        <w:rPr>
          <w:rFonts w:ascii="Century Gothic" w:hAnsi="Century Gothic"/>
          <w:sz w:val="20"/>
          <w:szCs w:val="20"/>
        </w:rPr>
        <w:t xml:space="preserve">que enumerava as medidas a tomar e os seus prazos e mandou realizar um estudo económico sobre os cursos da “não-Europa”, cujos resultados foram publicados em 1988. </w:t>
      </w:r>
    </w:p>
    <w:p w:rsidR="00AE1EEE" w:rsidP="00A366E9">
      <w:pPr>
        <w:pStyle w:val="NoSpacing"/>
        <w:ind w:firstLine="709"/>
        <w:rPr>
          <w:rFonts w:ascii="Century Gothic" w:hAnsi="Century Gothic"/>
          <w:sz w:val="20"/>
          <w:szCs w:val="20"/>
        </w:rPr>
      </w:pPr>
      <w:r>
        <w:rPr>
          <w:rFonts w:ascii="Century Gothic" w:hAnsi="Century Gothic"/>
          <w:sz w:val="20"/>
          <w:szCs w:val="20"/>
        </w:rPr>
        <w:t xml:space="preserve">Este livro e as perspetivas económicas assim abertas mobilizaram os governos, empresas e sindicados para o projeto de mercado único, que se concretizou na data prevista. </w:t>
      </w:r>
    </w:p>
    <w:p w:rsidR="00AE1EEE" w:rsidP="00A366E9">
      <w:pPr>
        <w:pStyle w:val="NoSpacing"/>
        <w:ind w:firstLine="709"/>
        <w:rPr>
          <w:rFonts w:ascii="Century Gothic" w:hAnsi="Century Gothic"/>
          <w:sz w:val="20"/>
          <w:szCs w:val="20"/>
        </w:rPr>
      </w:pPr>
      <w:r>
        <w:rPr>
          <w:rFonts w:ascii="Century Gothic" w:hAnsi="Century Gothic"/>
          <w:sz w:val="20"/>
          <w:szCs w:val="20"/>
        </w:rPr>
        <w:t xml:space="preserve">Em 1990, aproveitando esta dinâmica, começam as negociações com vista ao aumento das competências da Comunidade, que se pretendem ver alargados setores até aí reservados aos governos nacionais: moeda, política migratória, política externa e defesa. Estas negociações resultam no Tratado da União Europeia ou Tratado de Maastricht, em 1992. </w:t>
      </w:r>
    </w:p>
    <w:p w:rsidR="00AE1EEE" w:rsidP="00A366E9">
      <w:pPr>
        <w:pStyle w:val="NoSpacing"/>
        <w:ind w:firstLine="709"/>
        <w:rPr>
          <w:rFonts w:ascii="Century Gothic" w:hAnsi="Century Gothic"/>
          <w:sz w:val="20"/>
          <w:szCs w:val="20"/>
        </w:rPr>
      </w:pPr>
      <w:r>
        <w:rPr>
          <w:rFonts w:ascii="Century Gothic" w:hAnsi="Century Gothic"/>
          <w:sz w:val="20"/>
          <w:szCs w:val="20"/>
        </w:rPr>
        <w:t xml:space="preserve">Este Tratado, que entre em vigor em 1993, ao mesmo tempo que o Mercado Único, estabelece uma União Europeia formada em três pilares: o comunitário, de cariz económico e o mais desenvolvido; o da política externa e de segurança comum (PESC) e o da cooperação nos domínios da justiça e dos assuntos internos. </w:t>
      </w:r>
    </w:p>
    <w:p w:rsidR="00635471" w:rsidP="00A366E9">
      <w:pPr>
        <w:pStyle w:val="NoSpacing"/>
        <w:ind w:firstLine="709"/>
        <w:rPr>
          <w:rFonts w:ascii="Century Gothic" w:hAnsi="Century Gothic"/>
          <w:sz w:val="20"/>
          <w:szCs w:val="20"/>
        </w:rPr>
      </w:pPr>
      <w:r>
        <w:rPr>
          <w:rFonts w:ascii="Century Gothic" w:hAnsi="Century Gothic"/>
          <w:sz w:val="20"/>
          <w:szCs w:val="20"/>
        </w:rPr>
        <w:t xml:space="preserve">Estes pilares organizam-se num quadro institucional único, embora funcionem de forma diferenciada, já que o nível de atuação é muito mais profundo na economia do que nos dois outros domínios. </w:t>
      </w:r>
    </w:p>
    <w:p w:rsidR="00635471" w:rsidP="00A366E9">
      <w:pPr>
        <w:pStyle w:val="NoSpacing"/>
        <w:ind w:firstLine="709"/>
        <w:rPr>
          <w:rFonts w:ascii="Century Gothic" w:hAnsi="Century Gothic"/>
          <w:sz w:val="20"/>
          <w:szCs w:val="20"/>
        </w:rPr>
      </w:pPr>
      <w:r>
        <w:rPr>
          <w:rFonts w:ascii="Century Gothic" w:hAnsi="Century Gothic"/>
          <w:sz w:val="20"/>
          <w:szCs w:val="20"/>
        </w:rPr>
        <w:t xml:space="preserve">Maastrich representou um passo em frente no caminho da União, já que além de reforçar os laços políticos permitiu a definição de um objetivo: adoção da moeda única. </w:t>
      </w:r>
    </w:p>
    <w:p w:rsidR="00635471" w:rsidP="00A366E9">
      <w:pPr>
        <w:pStyle w:val="NoSpacing"/>
        <w:ind w:firstLine="709"/>
        <w:rPr>
          <w:rFonts w:ascii="Century Gothic" w:hAnsi="Century Gothic"/>
          <w:sz w:val="20"/>
          <w:szCs w:val="20"/>
        </w:rPr>
      </w:pPr>
      <w:r>
        <w:rPr>
          <w:rFonts w:ascii="Century Gothic" w:hAnsi="Century Gothic"/>
          <w:noProof/>
          <w:sz w:val="20"/>
          <w:szCs w:val="20"/>
          <w:lang w:eastAsia="pt-PT"/>
        </w:rPr>
        <w:pict>
          <v:shape id="_x0000_s1029" type="#_x0000_t202" style="height:129.35pt;margin-left:246.2pt;margin-top:-4.1pt;position:absolute;width:178.85pt;z-index:-251651072" strokecolor="#e36c0a">
            <v:textbox style="mso-fit-shape-to-text:t">
              <w:txbxContent>
                <w:p w:rsidR="002C5F61" w:rsidRPr="00371F9E" w:rsidP="00371F9E">
                  <w:pPr>
                    <w:pStyle w:val="NoSpacing"/>
                    <w:rPr>
                      <w:rFonts w:ascii="Century Gothic" w:hAnsi="Century Gothic"/>
                      <w:sz w:val="18"/>
                      <w:szCs w:val="18"/>
                    </w:rPr>
                  </w:pPr>
                  <w:r>
                    <w:rPr>
                      <w:rFonts w:ascii="Century Gothic" w:hAnsi="Century Gothic"/>
                      <w:sz w:val="18"/>
                      <w:szCs w:val="18"/>
                    </w:rPr>
                    <w:t>Para a concretização da união monetária estabeleceram-se ”critérios de convergência” das economias dos países aderentes. Estes critérios limitam a taxa de inflação, o défice das finanças públicas, a flutuação das taxas de câmbio e das taxas de juro a longo prazo daí a entrada da Grácia na UE mais tarde, dado que não consegui concretizar estes critérios.</w:t>
                  </w:r>
                </w:p>
              </w:txbxContent>
            </v:textbox>
            <w10:wrap type="tight"/>
          </v:shape>
        </w:pict>
      </w:r>
      <w:r w:rsidR="00635471">
        <w:rPr>
          <w:rFonts w:ascii="Century Gothic" w:hAnsi="Century Gothic"/>
          <w:sz w:val="20"/>
          <w:szCs w:val="20"/>
        </w:rPr>
        <w:t xml:space="preserve">A 1 de janeiro de 1999, 11 países, ao qual se junta mais tarde a Grécia, inauguram oficialmente o euro que entra, então, nos mercados de capitais. Na mesma altura, começa também a funcionar um Banco Central Europeu, supranacional, que define a política monetária da União. Três anos mais tarde, estes países adotam oficialmente o euro abdicando de um símbolo maior de soberania e identidade nacionais, em favor do ideal da Europa Unida. </w:t>
      </w:r>
    </w:p>
    <w:p w:rsidR="00C36EC0" w:rsidP="00A366E9">
      <w:pPr>
        <w:pStyle w:val="NoSpacing"/>
        <w:ind w:firstLine="709"/>
        <w:rPr>
          <w:rFonts w:ascii="Century Gothic" w:hAnsi="Century Gothic"/>
          <w:sz w:val="20"/>
          <w:szCs w:val="20"/>
        </w:rPr>
      </w:pPr>
      <w:r>
        <w:rPr>
          <w:rFonts w:ascii="Century Gothic" w:hAnsi="Century Gothic"/>
          <w:sz w:val="20"/>
          <w:szCs w:val="20"/>
        </w:rPr>
        <w:t xml:space="preserve">O euro completou a integração das economias, sendo o primeiro pilar consolidado, em que a Europa conseguiu o seu objetivo de ombrear com os gigantes económicos mundiais: a CE tornou-se a maior potência comercial do mundo, com um PIB conjunto semelhante ao dos Estados Unidos; o seu mercado interno apresenta um elevado nível de consumo e uma mão de obra muito qualificada; possui, também, uma densa rede de transportes e comunicações. </w:t>
      </w:r>
    </w:p>
    <w:p w:rsidR="00C36EC0" w:rsidP="00A366E9">
      <w:pPr>
        <w:pStyle w:val="NoSpacing"/>
        <w:ind w:firstLine="709"/>
        <w:rPr>
          <w:rFonts w:ascii="Century Gothic" w:hAnsi="Century Gothic"/>
          <w:sz w:val="20"/>
          <w:szCs w:val="20"/>
        </w:rPr>
      </w:pPr>
      <w:r>
        <w:rPr>
          <w:rFonts w:ascii="Century Gothic" w:hAnsi="Century Gothic"/>
          <w:sz w:val="20"/>
          <w:szCs w:val="20"/>
        </w:rPr>
        <w:t xml:space="preserve">No final do século, a Comunidade enfraqueceu em relação aos EUA: registou um crescimento económico mais fraco, um alto nível de desemprego e, com a população mais velha do mundo, uma preocupante falta de dinamismo demográfico. </w:t>
      </w:r>
    </w:p>
    <w:p w:rsidR="00C36EC0" w:rsidP="00A366E9">
      <w:pPr>
        <w:pStyle w:val="NoSpacing"/>
        <w:ind w:firstLine="709"/>
        <w:rPr>
          <w:rFonts w:ascii="Century Gothic" w:hAnsi="Century Gothic"/>
          <w:sz w:val="20"/>
          <w:szCs w:val="20"/>
        </w:rPr>
      </w:pPr>
    </w:p>
    <w:p w:rsidR="00C36EC0" w:rsidRPr="00EA26CE" w:rsidP="00D066F7">
      <w:pPr>
        <w:pStyle w:val="NoSpacing"/>
        <w:numPr>
          <w:ilvl w:val="1"/>
          <w:numId w:val="4"/>
        </w:numPr>
        <w:rPr>
          <w:rFonts w:ascii="Century Gothic" w:hAnsi="Century Gothic"/>
          <w:color w:val="E36C0A" w:themeColor="accent6" w:themeShade="BF"/>
          <w:sz w:val="20"/>
          <w:szCs w:val="20"/>
        </w:rPr>
      </w:pPr>
      <w:r w:rsidRPr="00EA26CE">
        <w:rPr>
          <w:rFonts w:ascii="Century Gothic" w:hAnsi="Century Gothic"/>
          <w:color w:val="E36C0A" w:themeColor="accent6" w:themeShade="BF"/>
          <w:sz w:val="20"/>
          <w:szCs w:val="20"/>
        </w:rPr>
        <w:t>Da Europa dos 9 à Europa dos 25</w:t>
      </w:r>
    </w:p>
    <w:p w:rsidR="00D066F7" w:rsidP="00D066F7">
      <w:pPr>
        <w:pStyle w:val="NoSpacing"/>
        <w:ind w:firstLine="709"/>
        <w:rPr>
          <w:rFonts w:ascii="Century Gothic" w:hAnsi="Century Gothic"/>
          <w:sz w:val="20"/>
          <w:szCs w:val="20"/>
        </w:rPr>
      </w:pPr>
      <w:r>
        <w:rPr>
          <w:rFonts w:ascii="Century Gothic" w:hAnsi="Century Gothic"/>
          <w:sz w:val="20"/>
          <w:szCs w:val="20"/>
        </w:rPr>
        <w:t xml:space="preserve">Em meados dos anos 70, a Grécia, Portugal e Espanha, transformaram-se em democracias, não tardando a sua adesão à CEE, sendo a da Grécia em 1981 e a dos países ibéricos em 1985. </w:t>
      </w:r>
    </w:p>
    <w:p w:rsidR="00D066F7" w:rsidP="00D066F7">
      <w:pPr>
        <w:pStyle w:val="NoSpacing"/>
        <w:ind w:firstLine="709"/>
        <w:rPr>
          <w:rFonts w:ascii="Century Gothic" w:hAnsi="Century Gothic"/>
          <w:sz w:val="20"/>
          <w:szCs w:val="20"/>
        </w:rPr>
      </w:pPr>
      <w:r>
        <w:rPr>
          <w:rFonts w:ascii="Century Gothic" w:hAnsi="Century Gothic"/>
          <w:sz w:val="20"/>
          <w:szCs w:val="20"/>
        </w:rPr>
        <w:t>A entrada destes novos membros colocou à CEE o seu primeiro desafio: este grupo de países era bastante atrasado relativamente aos restantes membros. Esta disparidade obrigou à canalização de verbas muito avultadas do orçamento da Comunidade, que foram entregues aos três governos com o intuito de fomentar as respetivas economias</w:t>
      </w:r>
      <w:r>
        <w:rPr>
          <w:rStyle w:val="FootnoteReference"/>
          <w:rFonts w:ascii="Century Gothic" w:hAnsi="Century Gothic"/>
          <w:sz w:val="20"/>
          <w:szCs w:val="20"/>
        </w:rPr>
        <w:footnoteReference w:id="7"/>
      </w:r>
      <w:r>
        <w:rPr>
          <w:rFonts w:ascii="Century Gothic" w:hAnsi="Century Gothic"/>
          <w:sz w:val="20"/>
          <w:szCs w:val="20"/>
        </w:rPr>
        <w:t xml:space="preserve">. </w:t>
      </w:r>
    </w:p>
    <w:p w:rsidR="00D066F7" w:rsidP="00D066F7">
      <w:pPr>
        <w:pStyle w:val="NoSpacing"/>
        <w:ind w:firstLine="709"/>
        <w:rPr>
          <w:rFonts w:ascii="Century Gothic" w:hAnsi="Century Gothic"/>
          <w:sz w:val="20"/>
          <w:szCs w:val="20"/>
        </w:rPr>
      </w:pPr>
      <w:r>
        <w:rPr>
          <w:rFonts w:ascii="Century Gothic" w:hAnsi="Century Gothic"/>
          <w:sz w:val="20"/>
          <w:szCs w:val="20"/>
        </w:rPr>
        <w:t xml:space="preserve">Em 1992, o Conselho Europeu de Lisboa recebeu as candidaturas da Áustria, Finlândia, Suécia e Noruega cuja solidez económica contribuiria para o reforço da Comunidade. Após três anos efetiva-se a adesão da Áustria, Finlândia e Suécia, estando a Europa nesta altura a quinze. </w:t>
      </w:r>
    </w:p>
    <w:p w:rsidR="00D066F7" w:rsidP="00D066F7">
      <w:pPr>
        <w:pStyle w:val="NoSpacing"/>
        <w:ind w:firstLine="709"/>
        <w:rPr>
          <w:rFonts w:ascii="Century Gothic" w:hAnsi="Century Gothic"/>
          <w:sz w:val="20"/>
          <w:szCs w:val="20"/>
        </w:rPr>
      </w:pPr>
      <w:r>
        <w:rPr>
          <w:rFonts w:ascii="Century Gothic" w:hAnsi="Century Gothic"/>
          <w:sz w:val="20"/>
          <w:szCs w:val="20"/>
        </w:rPr>
        <w:t xml:space="preserve">Os desejos de adesão dos países de Leste eram olhados com apreensão, limitando-se a Comunidade no início a implementar planos de ajuda às economias em transição. </w:t>
      </w:r>
    </w:p>
    <w:p w:rsidR="00D066F7" w:rsidP="00D066F7">
      <w:pPr>
        <w:pStyle w:val="NoSpacing"/>
        <w:ind w:firstLine="709"/>
        <w:rPr>
          <w:rFonts w:ascii="Century Gothic" w:hAnsi="Century Gothic"/>
          <w:sz w:val="20"/>
          <w:szCs w:val="20"/>
        </w:rPr>
      </w:pPr>
      <w:r>
        <w:rPr>
          <w:rFonts w:ascii="Century Gothic" w:hAnsi="Century Gothic"/>
          <w:sz w:val="20"/>
          <w:szCs w:val="20"/>
        </w:rPr>
        <w:t xml:space="preserve">Mais tarde, os ideais que presidiram à construção europeia revelaram-se determinantes: o princípio de integração das novas democracias é aceite e, preparando-o, a Cimeira de Copenhaga realizada em 1993 que definia os critérios que deveriam condicionar as entradas na União: instituições democráticas, respeito pelos Direito do Homem, economia de mercado viável e aceitação de todos os textos comunitários. </w:t>
      </w:r>
    </w:p>
    <w:p w:rsidR="00EA26CE" w:rsidP="00D066F7">
      <w:pPr>
        <w:pStyle w:val="NoSpacing"/>
        <w:ind w:firstLine="709"/>
        <w:rPr>
          <w:rFonts w:ascii="Century Gothic" w:hAnsi="Century Gothic"/>
          <w:sz w:val="20"/>
          <w:szCs w:val="20"/>
        </w:rPr>
      </w:pPr>
    </w:p>
    <w:p w:rsidR="00EA26CE" w:rsidP="00D066F7">
      <w:pPr>
        <w:pStyle w:val="NoSpacing"/>
        <w:ind w:firstLine="709"/>
        <w:rPr>
          <w:rFonts w:ascii="Century Gothic" w:hAnsi="Century Gothic"/>
          <w:sz w:val="20"/>
          <w:szCs w:val="20"/>
        </w:rPr>
      </w:pPr>
      <w:r>
        <w:rPr>
          <w:rFonts w:ascii="Century Gothic" w:hAnsi="Century Gothic"/>
          <w:sz w:val="20"/>
          <w:szCs w:val="20"/>
        </w:rPr>
        <w:t xml:space="preserve">A 1 de maio de 2004, a Europa enfrenta o desafio de unir o Leste e o Oeste, o Norte e o Sul. Menos de três anos depois, em janeiro de 2007, a UE acolhe dois outros países de leste: Bulgária e Roménia, cuja integração tinha sido adiada por não estarem cumpridas as condições revistas, sendo que a Turquia viu a sua adesão adiada e objeto de larga polémica. </w:t>
      </w:r>
    </w:p>
    <w:p w:rsidR="00371F9E" w:rsidP="00D066F7">
      <w:pPr>
        <w:pStyle w:val="NoSpacing"/>
        <w:ind w:firstLine="709"/>
        <w:rPr>
          <w:rFonts w:ascii="Century Gothic" w:hAnsi="Century Gothic"/>
          <w:sz w:val="20"/>
          <w:szCs w:val="20"/>
        </w:rPr>
      </w:pPr>
    </w:p>
    <w:p w:rsidR="00371F9E" w:rsidP="00D066F7">
      <w:pPr>
        <w:pStyle w:val="NoSpacing"/>
        <w:ind w:firstLine="709"/>
        <w:rPr>
          <w:rFonts w:ascii="Century Gothic" w:hAnsi="Century Gothic"/>
          <w:sz w:val="20"/>
          <w:szCs w:val="20"/>
        </w:rPr>
      </w:pPr>
    </w:p>
    <w:p w:rsidR="00EA26CE" w:rsidP="00D066F7">
      <w:pPr>
        <w:pStyle w:val="NoSpacing"/>
        <w:ind w:firstLine="709"/>
        <w:rPr>
          <w:rFonts w:ascii="Century Gothic" w:hAnsi="Century Gothic"/>
          <w:sz w:val="20"/>
          <w:szCs w:val="20"/>
        </w:rPr>
      </w:pPr>
    </w:p>
    <w:p w:rsidR="00EA26CE" w:rsidRPr="00383207" w:rsidP="00EA26CE">
      <w:pPr>
        <w:pStyle w:val="NoSpacing"/>
        <w:numPr>
          <w:ilvl w:val="1"/>
          <w:numId w:val="4"/>
        </w:numPr>
        <w:rPr>
          <w:rFonts w:ascii="Century Gothic" w:hAnsi="Century Gothic"/>
          <w:color w:val="E36C0A" w:themeColor="accent6" w:themeShade="BF"/>
          <w:sz w:val="20"/>
          <w:szCs w:val="20"/>
        </w:rPr>
      </w:pPr>
      <w:r w:rsidRPr="00383207">
        <w:rPr>
          <w:rFonts w:ascii="Century Gothic" w:hAnsi="Century Gothic"/>
          <w:color w:val="E36C0A" w:themeColor="accent6" w:themeShade="BF"/>
          <w:sz w:val="20"/>
          <w:szCs w:val="20"/>
        </w:rPr>
        <w:t xml:space="preserve">As dificuldades de construção de uma Europa política </w:t>
      </w:r>
    </w:p>
    <w:p w:rsidR="00EA26CE" w:rsidP="00EA26CE">
      <w:pPr>
        <w:pStyle w:val="NoSpacing"/>
        <w:ind w:firstLine="709"/>
        <w:rPr>
          <w:rFonts w:ascii="Century Gothic" w:hAnsi="Century Gothic"/>
          <w:sz w:val="20"/>
          <w:szCs w:val="20"/>
        </w:rPr>
      </w:pPr>
      <w:r>
        <w:rPr>
          <w:rFonts w:ascii="Century Gothic" w:hAnsi="Century Gothic"/>
          <w:noProof/>
          <w:sz w:val="20"/>
          <w:szCs w:val="20"/>
        </w:rPr>
        <w:pict>
          <v:shape id="_x0000_s1030" type="#_x0000_t202" style="height:129.35pt;margin-left:254.1pt;margin-top:11.25pt;position:absolute;width:169.15pt;z-index:-251655168" strokecolor="#e36c0a">
            <v:textbox style="mso-fit-shape-to-text:t">
              <w:txbxContent>
                <w:p w:rsidR="002C5F61" w:rsidRPr="00CF25A3" w:rsidP="00CF25A3">
                  <w:pPr>
                    <w:pStyle w:val="NoSpacing"/>
                    <w:rPr>
                      <w:rFonts w:ascii="Century Gothic" w:hAnsi="Century Gothic"/>
                      <w:sz w:val="18"/>
                      <w:szCs w:val="18"/>
                    </w:rPr>
                  </w:pPr>
                  <w:r w:rsidRPr="00CF25A3">
                    <w:rPr>
                      <w:rFonts w:ascii="Century Gothic" w:hAnsi="Century Gothic"/>
                      <w:color w:val="E36C0A" w:themeColor="accent6" w:themeShade="BF"/>
                      <w:sz w:val="18"/>
                      <w:szCs w:val="18"/>
                    </w:rPr>
                    <w:t>Euroceticismo:</w:t>
                  </w:r>
                  <w:r w:rsidRPr="00CF25A3">
                    <w:rPr>
                      <w:rFonts w:ascii="Century Gothic" w:hAnsi="Century Gothic"/>
                      <w:sz w:val="18"/>
                      <w:szCs w:val="18"/>
                    </w:rPr>
                    <w:t xml:space="preserve"> doutrina política que assenta na descrença ou desconfiança da União Europeia. Para os eurocéticos o modelo económico-social encaminha-se para uma federalização dos Estados, </w:t>
                  </w:r>
                  <w:r w:rsidRPr="00CF25A3">
                    <w:rPr>
                      <w:rFonts w:ascii="Century Gothic" w:hAnsi="Century Gothic" w:cs="Arial"/>
                      <w:color w:val="000000"/>
                      <w:sz w:val="18"/>
                      <w:szCs w:val="18"/>
                      <w:shd w:val="clear" w:color="auto" w:fill="FFFFFF"/>
                    </w:rPr>
                    <w:t>sendo necessário defender a soberania nacional e a independência decisória das instituições próprias das Nações europeias.</w:t>
                  </w:r>
                </w:p>
              </w:txbxContent>
            </v:textbox>
            <w10:wrap type="tight"/>
          </v:shape>
        </w:pict>
      </w:r>
      <w:r w:rsidR="00EA26CE">
        <w:rPr>
          <w:rFonts w:ascii="Century Gothic" w:hAnsi="Century Gothic"/>
          <w:sz w:val="20"/>
          <w:szCs w:val="20"/>
        </w:rPr>
        <w:t xml:space="preserve">Os Europeus têm-se dividido no que toca ao futuro do seu continente: há os que se opõem a toda e a qualquer forma de união europeia, os que a defendem exclusivamente num quadro de colaboração entre estados soberanos (unionistas) e os que apostam na criação de uma espécie de Estados Unidos da Europa, com um governo federal único e supranacional (federalistas). </w:t>
      </w:r>
    </w:p>
    <w:p w:rsidR="00EA26CE" w:rsidP="00EA26CE">
      <w:pPr>
        <w:pStyle w:val="NoSpacing"/>
        <w:ind w:firstLine="709"/>
        <w:rPr>
          <w:rFonts w:ascii="Century Gothic" w:hAnsi="Century Gothic"/>
          <w:sz w:val="20"/>
          <w:szCs w:val="20"/>
        </w:rPr>
      </w:pPr>
      <w:r>
        <w:rPr>
          <w:rFonts w:ascii="Century Gothic" w:hAnsi="Century Gothic"/>
          <w:sz w:val="20"/>
          <w:szCs w:val="20"/>
        </w:rPr>
        <w:t xml:space="preserve">O país que mais tem rejeitado a ideia de uma Europa federal é o Reino Unido. </w:t>
      </w:r>
    </w:p>
    <w:p w:rsidR="00E8493A" w:rsidP="00EA26CE">
      <w:pPr>
        <w:pStyle w:val="NoSpacing"/>
        <w:ind w:firstLine="709"/>
        <w:rPr>
          <w:rFonts w:ascii="Century Gothic" w:hAnsi="Century Gothic"/>
          <w:sz w:val="20"/>
          <w:szCs w:val="20"/>
        </w:rPr>
      </w:pPr>
      <w:r>
        <w:rPr>
          <w:rFonts w:ascii="Century Gothic" w:hAnsi="Century Gothic"/>
          <w:sz w:val="20"/>
          <w:szCs w:val="20"/>
        </w:rPr>
        <w:t xml:space="preserve">No entanto, o euroceticismo e a resistência a todas as medidas que impliquem transferências de soberania não são exclusivas da Inglaterra. Existem, tendo-se expressado aquando a ratificação do Tratado de Maastricht: os Dinamarqueses rejeitaram-no, num primeiro referendo, e só vieram a aceitá-lo depois de introduzida uma cláusula que os deixa fora da zona euro, os Suecos acabaram igualmente por se demarcar da moeda única, e nos restantes países a aprovação do Tratado suscitou grandes polémicas e dividiu a opinião púbica. </w:t>
      </w:r>
    </w:p>
    <w:p w:rsidR="00E8493A" w:rsidP="00EA26CE">
      <w:pPr>
        <w:pStyle w:val="NoSpacing"/>
        <w:ind w:firstLine="709"/>
        <w:rPr>
          <w:rFonts w:ascii="Century Gothic" w:hAnsi="Century Gothic"/>
          <w:sz w:val="20"/>
          <w:szCs w:val="20"/>
        </w:rPr>
      </w:pPr>
      <w:r>
        <w:rPr>
          <w:rFonts w:ascii="Century Gothic" w:hAnsi="Century Gothic"/>
          <w:noProof/>
          <w:sz w:val="20"/>
          <w:szCs w:val="20"/>
        </w:rPr>
        <w:pict>
          <v:shape id="_x0000_s1031" type="#_x0000_t202" style="height:151.4pt;margin-left:212.55pt;margin-top:60.35pt;position:absolute;width:219.2pt;z-index:-251656192" strokecolor="#e36c0a">
            <v:textbox style="mso-fit-shape-to-text:t">
              <w:txbxContent>
                <w:p w:rsidR="002C5F61" w:rsidRPr="00383207" w:rsidP="00383207">
                  <w:pPr>
                    <w:pStyle w:val="NoSpacing"/>
                    <w:rPr>
                      <w:rFonts w:ascii="Century Gothic" w:hAnsi="Century Gothic"/>
                      <w:sz w:val="18"/>
                      <w:szCs w:val="18"/>
                    </w:rPr>
                  </w:pPr>
                  <w:r w:rsidRPr="00383207">
                    <w:rPr>
                      <w:rFonts w:ascii="Century Gothic" w:hAnsi="Century Gothic"/>
                      <w:color w:val="E36C0A" w:themeColor="accent6" w:themeShade="BF"/>
                      <w:sz w:val="18"/>
                      <w:szCs w:val="18"/>
                    </w:rPr>
                    <w:t>Cidadania europeia:</w:t>
                  </w:r>
                  <w:r w:rsidRPr="00383207">
                    <w:rPr>
                      <w:rFonts w:ascii="Century Gothic" w:hAnsi="Century Gothic"/>
                      <w:sz w:val="18"/>
                      <w:szCs w:val="18"/>
                    </w:rPr>
                    <w:t xml:space="preserve"> criada pelo tratado da União Europeia exprime-se pelo direito de voto nas eleições europeias e autárquicas na zona de residência do cidadão, independentemente deste se situar no seu país de origem. Estabelece ainda o direito de apresentar propostas (coletivas) à Comissão Europeia, endereçar petições ao Parlamento Europeu, apresentar queixas e beneficiar de proteção diplomática, nos países terceiros, por parte das embaixadas ou consulados de qualquer dos estados-membros, caso não existam delegações do país de origem.</w:t>
                  </w:r>
                </w:p>
              </w:txbxContent>
            </v:textbox>
            <w10:wrap type="tight"/>
          </v:shape>
        </w:pict>
      </w:r>
      <w:r w:rsidR="00091EDE">
        <w:rPr>
          <w:rFonts w:ascii="Century Gothic" w:hAnsi="Century Gothic"/>
          <w:sz w:val="20"/>
          <w:szCs w:val="20"/>
        </w:rPr>
        <w:t xml:space="preserve">A confusão provocada pelo Tratado explica-se, em grande parte, pelo avanço que este acordo deu à união política. Além de ter introduzido a meda única, criou a cidadania europeia e alargou a ação comunitária a questões como o direito de asilo, a política de imigração e a cooperação nos assuntos internos (polícia, por exemplo). Reforçou também os mecanismos para a criação de uma política externa e de defesa comum. </w:t>
      </w:r>
    </w:p>
    <w:p w:rsidR="00CF25A3" w:rsidP="00EA26CE">
      <w:pPr>
        <w:pStyle w:val="NoSpacing"/>
        <w:ind w:firstLine="709"/>
        <w:rPr>
          <w:rFonts w:ascii="Century Gothic" w:hAnsi="Century Gothic"/>
          <w:sz w:val="20"/>
          <w:szCs w:val="20"/>
        </w:rPr>
      </w:pPr>
      <w:r>
        <w:rPr>
          <w:rFonts w:ascii="Century Gothic" w:hAnsi="Century Gothic"/>
          <w:sz w:val="20"/>
          <w:szCs w:val="20"/>
        </w:rPr>
        <w:t xml:space="preserve">A forma relutante como muitos europeus vêm a União resulta, em parte, da fraca implantação popular do sentimento europeísta. Apesar das medidas tomadas para a tornar quotidiana e presente (símbolos, programas de intercâmbio e projetos escolares, escolha anual de uma cidade europeia da cultura, entre muitos outros), a Europa aparece ainda como uma realidade longínqua e abstrata cujo funcionamento pouco diz ao cidadão comum. Como prova existem as eleições para o Parlamento Europeu, que apesar de todos os esforços têm uma participação muito inferior às eleições nacionais. </w:t>
      </w:r>
    </w:p>
    <w:p w:rsidR="00CF25A3" w:rsidP="00EA26CE">
      <w:pPr>
        <w:pStyle w:val="NoSpacing"/>
        <w:ind w:firstLine="709"/>
        <w:rPr>
          <w:rFonts w:ascii="Century Gothic" w:hAnsi="Century Gothic"/>
          <w:sz w:val="20"/>
          <w:szCs w:val="20"/>
        </w:rPr>
      </w:pPr>
    </w:p>
    <w:p w:rsidR="00CF25A3" w:rsidRPr="001E5CFD" w:rsidP="00CF25A3">
      <w:pPr>
        <w:pStyle w:val="NoSpacing"/>
        <w:numPr>
          <w:ilvl w:val="0"/>
          <w:numId w:val="7"/>
        </w:numPr>
        <w:rPr>
          <w:rFonts w:ascii="Century Gothic" w:hAnsi="Century Gothic"/>
          <w:color w:val="E36C0A" w:themeColor="accent6" w:themeShade="BF"/>
          <w:sz w:val="20"/>
          <w:szCs w:val="20"/>
        </w:rPr>
      </w:pPr>
      <w:r w:rsidRPr="001E5CFD">
        <w:rPr>
          <w:rFonts w:ascii="Century Gothic" w:hAnsi="Century Gothic"/>
          <w:color w:val="E36C0A" w:themeColor="accent6" w:themeShade="BF"/>
          <w:sz w:val="20"/>
          <w:szCs w:val="20"/>
        </w:rPr>
        <w:t>Novas perspetivas</w:t>
      </w:r>
    </w:p>
    <w:p w:rsidR="00CF25A3" w:rsidP="00CF25A3">
      <w:pPr>
        <w:pStyle w:val="NoSpacing"/>
        <w:ind w:firstLine="709"/>
        <w:rPr>
          <w:rFonts w:ascii="Century Gothic" w:hAnsi="Century Gothic"/>
          <w:sz w:val="20"/>
          <w:szCs w:val="20"/>
        </w:rPr>
      </w:pPr>
      <w:r>
        <w:rPr>
          <w:rFonts w:ascii="Century Gothic" w:hAnsi="Century Gothic"/>
          <w:sz w:val="20"/>
          <w:szCs w:val="20"/>
        </w:rPr>
        <w:t xml:space="preserve">As dificuldades de uma união política viram-se acrescidas pelos sucessivos alargamentos da Comunidade, que obrigam a conjugar os interesses de países muito diferentes e a rever o funcionamento das instituições concebidas para um número de membros bem mais reduzido. </w:t>
      </w:r>
    </w:p>
    <w:p w:rsidR="006628E2" w:rsidP="00CF25A3">
      <w:pPr>
        <w:pStyle w:val="NoSpacing"/>
        <w:ind w:firstLine="709"/>
        <w:rPr>
          <w:rFonts w:ascii="Century Gothic" w:hAnsi="Century Gothic"/>
          <w:sz w:val="20"/>
          <w:szCs w:val="20"/>
        </w:rPr>
      </w:pPr>
      <w:r>
        <w:rPr>
          <w:rFonts w:ascii="Century Gothic" w:hAnsi="Century Gothic"/>
          <w:noProof/>
          <w:sz w:val="20"/>
          <w:szCs w:val="20"/>
        </w:rPr>
        <w:pict>
          <v:shape id="_x0000_s1032" type="#_x0000_t202" style="height:85.2pt;margin-left:255.55pt;margin-top:4.3pt;position:absolute;width:169.15pt;z-index:-251654144" strokecolor="#e36c0a">
            <v:textbox style="mso-fit-shape-to-text:t">
              <w:txbxContent>
                <w:p w:rsidR="002C5F61" w:rsidRPr="001E5CFD" w:rsidP="001E5CFD">
                  <w:pPr>
                    <w:pStyle w:val="NoSpacing"/>
                    <w:rPr>
                      <w:rFonts w:ascii="Century Gothic" w:hAnsi="Century Gothic"/>
                      <w:sz w:val="18"/>
                      <w:szCs w:val="18"/>
                    </w:rPr>
                  </w:pPr>
                  <w:r w:rsidRPr="001E5CFD">
                    <w:rPr>
                      <w:rFonts w:ascii="Century Gothic" w:hAnsi="Century Gothic"/>
                      <w:sz w:val="18"/>
                      <w:szCs w:val="18"/>
                    </w:rPr>
                    <w:t>A reforma institucional obrigará à redução do número de membros em órgãos-chave, como a Comissão e o Conselho Europeu, onde, atualmente, todos os países se encontram permanentemente representados.</w:t>
                  </w:r>
                </w:p>
              </w:txbxContent>
            </v:textbox>
            <w10:wrap type="tight"/>
          </v:shape>
        </w:pict>
      </w:r>
      <w:r w:rsidR="006628E2">
        <w:rPr>
          <w:rFonts w:ascii="Century Gothic" w:hAnsi="Century Gothic"/>
          <w:sz w:val="20"/>
          <w:szCs w:val="20"/>
        </w:rPr>
        <w:t xml:space="preserve">Esta reforma institucional, altamente polémica tem vindo a ser adiada. Nos dois tratados após Maastricht (Amesterdão em 1999 e Nice em 2001) não se conseguiram introduzir mais do que pequenos ajustes. </w:t>
      </w:r>
    </w:p>
    <w:p w:rsidR="006628E2" w:rsidP="00CF25A3">
      <w:pPr>
        <w:pStyle w:val="NoSpacing"/>
        <w:ind w:firstLine="709"/>
        <w:rPr>
          <w:rFonts w:ascii="Century Gothic" w:hAnsi="Century Gothic"/>
          <w:sz w:val="20"/>
          <w:szCs w:val="20"/>
        </w:rPr>
      </w:pPr>
      <w:r>
        <w:rPr>
          <w:rFonts w:ascii="Century Gothic" w:hAnsi="Century Gothic"/>
          <w:sz w:val="20"/>
          <w:szCs w:val="20"/>
        </w:rPr>
        <w:t xml:space="preserve">Assim, face à pequenez dos resultados e à evidente descoordenação da política exterior, o Conselho Europeu de Laeken decidiu convocar, para 2002, uma Convenção Sobre o Futuro da Europa que se encarregou de apresentar propostas sobre três matérias: “aproximar os cidadãos do projeto europeu e das instituições europeias; estruturar a vida política e o espaço público europeus numa União alargada; fazer da União um fator de estabilização e uma referência na nova ordem mundial”. </w:t>
      </w:r>
    </w:p>
    <w:p w:rsidR="006628E2" w:rsidP="00CF25A3">
      <w:pPr>
        <w:pStyle w:val="NoSpacing"/>
        <w:ind w:firstLine="709"/>
        <w:rPr>
          <w:rFonts w:ascii="Century Gothic" w:hAnsi="Century Gothic"/>
          <w:sz w:val="20"/>
          <w:szCs w:val="20"/>
        </w:rPr>
      </w:pPr>
      <w:r>
        <w:rPr>
          <w:rFonts w:ascii="Century Gothic" w:hAnsi="Century Gothic"/>
          <w:sz w:val="20"/>
          <w:szCs w:val="20"/>
        </w:rPr>
        <w:t xml:space="preserve">Desta Convenção resultou um projeto de constituição europeia que previa entre outras soluções inovadoras, a criação de um ministro dos Negócios Estrangeiros da Europa, responsável pelas posições em matéria de política externa e o prolongamento do mandato do presidente do Conselho Europeu que passaria de seis meses a dois anos. </w:t>
      </w:r>
    </w:p>
    <w:p w:rsidR="006628E2" w:rsidP="00CF25A3">
      <w:pPr>
        <w:pStyle w:val="NoSpacing"/>
        <w:ind w:firstLine="709"/>
        <w:rPr>
          <w:rFonts w:ascii="Century Gothic" w:hAnsi="Century Gothic"/>
          <w:sz w:val="20"/>
          <w:szCs w:val="20"/>
        </w:rPr>
      </w:pPr>
      <w:r>
        <w:rPr>
          <w:rFonts w:ascii="Century Gothic" w:hAnsi="Century Gothic"/>
          <w:sz w:val="20"/>
          <w:szCs w:val="20"/>
        </w:rPr>
        <w:t>Motivo de esperança para os europeus, mas também de grande controvérsia, a Constituição foi negada pela França e Holanda.</w:t>
      </w:r>
    </w:p>
    <w:p w:rsidR="006628E2" w:rsidP="00CF25A3">
      <w:pPr>
        <w:pStyle w:val="NoSpacing"/>
        <w:ind w:firstLine="709"/>
        <w:rPr>
          <w:rFonts w:ascii="Century Gothic" w:hAnsi="Century Gothic"/>
          <w:sz w:val="20"/>
          <w:szCs w:val="20"/>
        </w:rPr>
      </w:pPr>
      <w:r>
        <w:rPr>
          <w:rFonts w:ascii="Century Gothic" w:hAnsi="Century Gothic"/>
          <w:sz w:val="20"/>
          <w:szCs w:val="20"/>
        </w:rPr>
        <w:t xml:space="preserve">No decurso da presidência portuguesa da União, em dezembro de 2007, os líderes europeus assinaram, um novo documento na esperança de pôr fim ao impasse em que se encontrava a construção europeia. Recuperando muitas das propostas da Constituição, o Tratado de Lisboa ampliou ainda, significativamente, o direito de participação dos cidadãos na política comunitária, no intuito de aproximar os europeus das suas instituições. </w:t>
      </w:r>
    </w:p>
    <w:p w:rsidR="001E5CFD" w:rsidP="00CF25A3">
      <w:pPr>
        <w:pStyle w:val="NoSpacing"/>
        <w:ind w:firstLine="709"/>
        <w:rPr>
          <w:rFonts w:ascii="Century Gothic" w:hAnsi="Century Gothic"/>
          <w:sz w:val="20"/>
          <w:szCs w:val="20"/>
        </w:rPr>
      </w:pPr>
      <w:r>
        <w:rPr>
          <w:rFonts w:ascii="Century Gothic" w:hAnsi="Century Gothic"/>
          <w:sz w:val="20"/>
          <w:szCs w:val="20"/>
        </w:rPr>
        <w:t xml:space="preserve">Embora mais consensual, o novo tratado foi recusado pela Irlanda. </w:t>
      </w:r>
    </w:p>
    <w:p w:rsidR="00371F9E" w:rsidP="001E5CFD">
      <w:pPr>
        <w:pStyle w:val="NoSpacing"/>
        <w:ind w:firstLine="709"/>
        <w:rPr>
          <w:rFonts w:ascii="Century Gothic" w:hAnsi="Century Gothic"/>
          <w:b/>
          <w:color w:val="E36C0A" w:themeColor="accent6" w:themeShade="BF"/>
          <w:sz w:val="20"/>
          <w:szCs w:val="20"/>
        </w:rPr>
      </w:pPr>
    </w:p>
    <w:p w:rsidR="001E5CFD" w:rsidRPr="00371F9E" w:rsidP="00722BC4">
      <w:pPr>
        <w:pStyle w:val="NoSpacing"/>
        <w:numPr>
          <w:ilvl w:val="0"/>
          <w:numId w:val="8"/>
        </w:numPr>
        <w:rPr>
          <w:rFonts w:ascii="Century Gothic" w:hAnsi="Century Gothic"/>
          <w:b/>
          <w:color w:val="E36C0A" w:themeColor="accent6" w:themeShade="BF"/>
          <w:sz w:val="20"/>
          <w:szCs w:val="20"/>
        </w:rPr>
      </w:pPr>
      <w:r w:rsidRPr="00371F9E">
        <w:rPr>
          <w:rFonts w:ascii="Century Gothic" w:hAnsi="Century Gothic"/>
          <w:b/>
          <w:color w:val="E36C0A" w:themeColor="accent6" w:themeShade="BF"/>
          <w:sz w:val="20"/>
          <w:szCs w:val="20"/>
        </w:rPr>
        <w:t xml:space="preserve">O ESPAÇO ECONÓMICO DA ÁSIA-PACÍFICO </w:t>
      </w:r>
    </w:p>
    <w:p w:rsidR="001E5CFD" w:rsidP="001E5CFD">
      <w:pPr>
        <w:pStyle w:val="NoSpacing"/>
        <w:ind w:firstLine="709"/>
        <w:rPr>
          <w:rFonts w:ascii="Century Gothic" w:hAnsi="Century Gothic"/>
          <w:sz w:val="20"/>
          <w:szCs w:val="20"/>
        </w:rPr>
      </w:pPr>
      <w:r>
        <w:rPr>
          <w:rFonts w:ascii="Century Gothic" w:hAnsi="Century Gothic"/>
          <w:sz w:val="20"/>
          <w:szCs w:val="20"/>
        </w:rPr>
        <w:t xml:space="preserve">Nos anos 50, a Ásia vivia ainda das suas atividades tradicionais. Nos anos 90, tinha-se tornado um pólo de desenvolvimento intenso, capaz de concorrer com os Estados Unidos e a União Europeia. </w:t>
      </w:r>
    </w:p>
    <w:p w:rsidR="009538B4" w:rsidP="001E5CFD">
      <w:pPr>
        <w:pStyle w:val="NoSpacing"/>
        <w:ind w:firstLine="709"/>
        <w:rPr>
          <w:rFonts w:ascii="Century Gothic" w:hAnsi="Century Gothic"/>
          <w:sz w:val="20"/>
          <w:szCs w:val="20"/>
        </w:rPr>
      </w:pPr>
      <w:r>
        <w:rPr>
          <w:rFonts w:ascii="Century Gothic" w:hAnsi="Century Gothic"/>
          <w:sz w:val="20"/>
          <w:szCs w:val="20"/>
        </w:rPr>
        <w:t>A economia desta região desenvolveu-se em três fases consecutivas: em primeiro lugar emergiu no Japão, depois em conjunto os quatro dragões (Hong Kong, Singapura, Coreia do Sul e Taiwan) e finalmente nos países do Sudeste, Tailândia, Malásia e Indonésia, seguidos pela República Popular da China.</w:t>
      </w:r>
    </w:p>
    <w:p w:rsidR="009538B4" w:rsidP="001E5CFD">
      <w:pPr>
        <w:pStyle w:val="NoSpacing"/>
        <w:ind w:firstLine="709"/>
        <w:rPr>
          <w:rFonts w:ascii="Century Gothic" w:hAnsi="Century Gothic"/>
          <w:sz w:val="20"/>
          <w:szCs w:val="20"/>
        </w:rPr>
      </w:pPr>
    </w:p>
    <w:p w:rsidR="009538B4" w:rsidRPr="00371F9E" w:rsidP="009538B4">
      <w:pPr>
        <w:pStyle w:val="NoSpacing"/>
        <w:numPr>
          <w:ilvl w:val="1"/>
          <w:numId w:val="4"/>
        </w:numPr>
        <w:rPr>
          <w:rFonts w:ascii="Century Gothic" w:hAnsi="Century Gothic"/>
          <w:color w:val="E36C0A" w:themeColor="accent6" w:themeShade="BF"/>
          <w:sz w:val="20"/>
          <w:szCs w:val="20"/>
        </w:rPr>
      </w:pPr>
      <w:r w:rsidRPr="00371F9E">
        <w:rPr>
          <w:rFonts w:ascii="Century Gothic" w:hAnsi="Century Gothic"/>
          <w:color w:val="E36C0A" w:themeColor="accent6" w:themeShade="BF"/>
          <w:sz w:val="20"/>
          <w:szCs w:val="20"/>
        </w:rPr>
        <w:t>Os quatro dragões</w:t>
      </w:r>
    </w:p>
    <w:p w:rsidR="009538B4" w:rsidP="009538B4">
      <w:pPr>
        <w:pStyle w:val="NoSpacing"/>
        <w:ind w:firstLine="709"/>
        <w:rPr>
          <w:rFonts w:ascii="Century Gothic" w:hAnsi="Century Gothic"/>
          <w:sz w:val="20"/>
          <w:szCs w:val="20"/>
        </w:rPr>
      </w:pPr>
      <w:r>
        <w:rPr>
          <w:rFonts w:ascii="Century Gothic" w:hAnsi="Century Gothic"/>
          <w:sz w:val="20"/>
          <w:szCs w:val="20"/>
        </w:rPr>
        <w:t xml:space="preserve">O sucesso do Japão serviu de incentivo e de modelo à primeira geração de países industriais do Leste asiático. Tal como o seu vizinho nipónico, estes países tinham poucos trunfos em que se apoiar: careciam de terra arável, de recursos mineiros e energéticos, bem como de capitais. Enfrentavam ainda, os problemas de sobrepopulação. </w:t>
      </w:r>
    </w:p>
    <w:p w:rsidR="009538B4" w:rsidP="009538B4">
      <w:pPr>
        <w:pStyle w:val="NoSpacing"/>
        <w:ind w:firstLine="709"/>
        <w:rPr>
          <w:rFonts w:ascii="Century Gothic" w:hAnsi="Century Gothic"/>
          <w:sz w:val="20"/>
          <w:szCs w:val="20"/>
        </w:rPr>
      </w:pPr>
      <w:r>
        <w:rPr>
          <w:rFonts w:ascii="Century Gothic" w:hAnsi="Century Gothic"/>
          <w:sz w:val="20"/>
          <w:szCs w:val="20"/>
        </w:rPr>
        <w:t xml:space="preserve">Em contrapartida, não faltava vontade política, determinação e capacidade de trabalho. Tendo como objetivo o crescimento económico, os governos procuraram atrair capitais estrangeiros, adotaram políticas protecionistas, concederam grandes incentivos à exportação e investiram fortemente no ensino. </w:t>
      </w:r>
    </w:p>
    <w:p w:rsidR="009538B4" w:rsidP="009538B4">
      <w:pPr>
        <w:pStyle w:val="NoSpacing"/>
        <w:ind w:firstLine="709"/>
        <w:rPr>
          <w:rFonts w:ascii="Century Gothic" w:hAnsi="Century Gothic"/>
          <w:sz w:val="20"/>
          <w:szCs w:val="20"/>
        </w:rPr>
      </w:pPr>
      <w:r>
        <w:rPr>
          <w:rFonts w:ascii="Century Gothic" w:hAnsi="Century Gothic"/>
          <w:sz w:val="20"/>
          <w:szCs w:val="20"/>
        </w:rPr>
        <w:t xml:space="preserve">Compensando a escassez de capitais, a industrialização asiática explorou uma mão de obra abundante e disciplinada, capaz de trabalhar longas horas diárias por muito pouco dinheiro. Esta mão de obra esforçada e barata permitiu produzir, a preços imbatíveis, têxteis e produtos de consumo corrente, que inundaram os mercados ocidentais. Com o capital assim arrecadado, desenvolveram-se outros setores como automóvel, construção naval e as novas tecnologias. </w:t>
      </w:r>
    </w:p>
    <w:p w:rsidR="009538B4" w:rsidP="009538B4">
      <w:pPr>
        <w:pStyle w:val="NoSpacing"/>
        <w:ind w:firstLine="709"/>
        <w:rPr>
          <w:rFonts w:ascii="Century Gothic" w:hAnsi="Century Gothic"/>
          <w:sz w:val="20"/>
          <w:szCs w:val="20"/>
        </w:rPr>
      </w:pPr>
    </w:p>
    <w:p w:rsidR="009538B4" w:rsidRPr="00732426" w:rsidP="009538B4">
      <w:pPr>
        <w:pStyle w:val="NoSpacing"/>
        <w:numPr>
          <w:ilvl w:val="1"/>
          <w:numId w:val="4"/>
        </w:numPr>
        <w:rPr>
          <w:rFonts w:ascii="Century Gothic" w:hAnsi="Century Gothic"/>
          <w:color w:val="E36C0A" w:themeColor="accent6" w:themeShade="BF"/>
          <w:sz w:val="20"/>
          <w:szCs w:val="20"/>
        </w:rPr>
      </w:pPr>
      <w:r w:rsidRPr="00732426">
        <w:rPr>
          <w:rFonts w:ascii="Century Gothic" w:hAnsi="Century Gothic"/>
          <w:color w:val="E36C0A" w:themeColor="accent6" w:themeShade="BF"/>
          <w:sz w:val="20"/>
          <w:szCs w:val="20"/>
        </w:rPr>
        <w:t>Da concorrência à cooperação</w:t>
      </w:r>
    </w:p>
    <w:p w:rsidR="009538B4" w:rsidP="009538B4">
      <w:pPr>
        <w:pStyle w:val="NoSpacing"/>
        <w:ind w:firstLine="709"/>
        <w:rPr>
          <w:rFonts w:ascii="Century Gothic" w:hAnsi="Century Gothic"/>
          <w:sz w:val="20"/>
          <w:szCs w:val="20"/>
        </w:rPr>
      </w:pPr>
      <w:r>
        <w:rPr>
          <w:rFonts w:ascii="Century Gothic" w:hAnsi="Century Gothic"/>
          <w:sz w:val="20"/>
          <w:szCs w:val="20"/>
        </w:rPr>
        <w:t xml:space="preserve">Apesar do seu enorme êxito, os Novos Países Industrializados (NPI) da Ásia confrontavam-se com dois problemas: excessiva dependência face às economias estrangeiras em termos financeiros, energético e sobretudo na esfera comercial e a intensa rivalidade que os separava, já que concorriam com os mesmos produtos, nas mesmas zonas. </w:t>
      </w:r>
    </w:p>
    <w:p w:rsidR="00732426" w:rsidP="009538B4">
      <w:pPr>
        <w:pStyle w:val="NoSpacing"/>
        <w:ind w:firstLine="709"/>
        <w:rPr>
          <w:rFonts w:ascii="Century Gothic" w:hAnsi="Century Gothic"/>
          <w:sz w:val="20"/>
          <w:szCs w:val="20"/>
        </w:rPr>
      </w:pPr>
      <w:r>
        <w:rPr>
          <w:rFonts w:ascii="Century Gothic" w:hAnsi="Century Gothic"/>
          <w:sz w:val="20"/>
          <w:szCs w:val="20"/>
        </w:rPr>
        <w:t>Quando a economia ocidental abrandou, nos anos 70, os países asiáticos foram induzidos a procurar mercados e fornecedores mais próximos da sua área geográfica. Voltaram-se então para os membros da ASEAN</w:t>
      </w:r>
      <w:r>
        <w:rPr>
          <w:rStyle w:val="FootnoteReference"/>
          <w:rFonts w:ascii="Century Gothic" w:hAnsi="Century Gothic"/>
          <w:sz w:val="20"/>
          <w:szCs w:val="20"/>
        </w:rPr>
        <w:footnoteReference w:id="8"/>
      </w:r>
      <w:r>
        <w:rPr>
          <w:rFonts w:ascii="Century Gothic" w:hAnsi="Century Gothic"/>
          <w:sz w:val="20"/>
          <w:szCs w:val="20"/>
        </w:rPr>
        <w:t xml:space="preserve">, organização económica que aglutinava alguns países do Sudoeste Asiático. </w:t>
      </w:r>
    </w:p>
    <w:p w:rsidR="00732426" w:rsidP="009538B4">
      <w:pPr>
        <w:pStyle w:val="NoSpacing"/>
        <w:ind w:firstLine="709"/>
        <w:rPr>
          <w:rFonts w:ascii="Century Gothic" w:hAnsi="Century Gothic"/>
          <w:sz w:val="20"/>
          <w:szCs w:val="20"/>
        </w:rPr>
      </w:pPr>
      <w:r>
        <w:rPr>
          <w:rFonts w:ascii="Century Gothic" w:hAnsi="Century Gothic"/>
          <w:sz w:val="20"/>
          <w:szCs w:val="20"/>
        </w:rPr>
        <w:t xml:space="preserve">Agarrando a oportunidade, as duas partes deram início a uma cooperação regional estreita: o Japão, a Coreia do Sul e Taiwan iniciaram a exportação de bens manufaturados e tecnologia para os países do Sudeste e começaram a investir fortemente na exploração das suas reservas petrolíferas. Obtiveram em troca, os produtos primários que pretendiam. </w:t>
      </w:r>
    </w:p>
    <w:p w:rsidR="00732426" w:rsidP="009538B4">
      <w:pPr>
        <w:pStyle w:val="NoSpacing"/>
        <w:ind w:firstLine="709"/>
        <w:rPr>
          <w:rFonts w:ascii="Century Gothic" w:hAnsi="Century Gothic"/>
          <w:sz w:val="20"/>
          <w:szCs w:val="20"/>
        </w:rPr>
      </w:pPr>
      <w:r>
        <w:rPr>
          <w:rFonts w:ascii="Century Gothic" w:hAnsi="Century Gothic"/>
          <w:sz w:val="20"/>
          <w:szCs w:val="20"/>
        </w:rPr>
        <w:t xml:space="preserve">Este intercâmbio permitiu a emergência de uma segunda geração de países industriais na Ásia: Tailândia, Malásia e a Indonésia, sobretudo, desenvolveram a sua produção, apoiada numa mão de obra ainda mais barata, em virtude do seu maior atraso. </w:t>
      </w:r>
    </w:p>
    <w:p w:rsidR="00732426" w:rsidP="009538B4">
      <w:pPr>
        <w:pStyle w:val="NoSpacing"/>
        <w:ind w:firstLine="709"/>
        <w:rPr>
          <w:rFonts w:ascii="Century Gothic" w:hAnsi="Century Gothic"/>
          <w:sz w:val="20"/>
          <w:szCs w:val="20"/>
        </w:rPr>
      </w:pPr>
      <w:r>
        <w:rPr>
          <w:rFonts w:ascii="Century Gothic" w:hAnsi="Century Gothic"/>
          <w:sz w:val="20"/>
          <w:szCs w:val="20"/>
        </w:rPr>
        <w:t xml:space="preserve">A região começou, assim, a crescer de forma mais integrada. O João e os “quatro dragões” produzem mercadorias de maior qualidade e preço, a ASEAN dedica-se a bens de consumo, de preço e qualidade inferior, destinados, em grande parte aos mercados americano e asiático. </w:t>
      </w:r>
    </w:p>
    <w:p w:rsidR="00732426" w:rsidP="009538B4">
      <w:pPr>
        <w:pStyle w:val="NoSpacing"/>
        <w:ind w:firstLine="709"/>
        <w:rPr>
          <w:rFonts w:ascii="Century Gothic" w:hAnsi="Century Gothic"/>
          <w:sz w:val="20"/>
          <w:szCs w:val="20"/>
        </w:rPr>
      </w:pPr>
      <w:r>
        <w:rPr>
          <w:rFonts w:ascii="Century Gothic" w:hAnsi="Century Gothic"/>
          <w:sz w:val="20"/>
          <w:szCs w:val="20"/>
        </w:rPr>
        <w:t>O crescimento asiático alterou a balança de economia mundial, mas em contrapartida o crescimento teve custos ecológicos e sociais: a Ásia tornou-se a região mais poluída do Mundo e a sua mão de obra permaneceu, maioritariamente, pobre e explorada.</w:t>
      </w:r>
    </w:p>
    <w:p w:rsidR="00732426" w:rsidRPr="002C5F61" w:rsidP="009538B4">
      <w:pPr>
        <w:pStyle w:val="NoSpacing"/>
        <w:ind w:firstLine="709"/>
        <w:rPr>
          <w:rFonts w:ascii="Century Gothic" w:hAnsi="Century Gothic"/>
          <w:color w:val="E36C0A" w:themeColor="accent6" w:themeShade="BF"/>
          <w:sz w:val="20"/>
          <w:szCs w:val="20"/>
        </w:rPr>
      </w:pPr>
    </w:p>
    <w:p w:rsidR="00B302FC" w:rsidRPr="002C5F61" w:rsidP="00B302FC">
      <w:pPr>
        <w:pStyle w:val="NoSpacing"/>
        <w:numPr>
          <w:ilvl w:val="1"/>
          <w:numId w:val="4"/>
        </w:numPr>
        <w:rPr>
          <w:rFonts w:ascii="Century Gothic" w:hAnsi="Century Gothic"/>
          <w:color w:val="E36C0A" w:themeColor="accent6" w:themeShade="BF"/>
          <w:sz w:val="20"/>
          <w:szCs w:val="20"/>
        </w:rPr>
      </w:pPr>
      <w:r w:rsidRPr="002C5F61">
        <w:rPr>
          <w:rFonts w:ascii="Century Gothic" w:hAnsi="Century Gothic"/>
          <w:color w:val="E36C0A" w:themeColor="accent6" w:themeShade="BF"/>
          <w:sz w:val="20"/>
          <w:szCs w:val="20"/>
        </w:rPr>
        <w:t xml:space="preserve">A questão de Timor </w:t>
      </w:r>
    </w:p>
    <w:p w:rsidR="00B302FC" w:rsidP="00B302FC">
      <w:pPr>
        <w:pStyle w:val="NoSpacing"/>
        <w:ind w:firstLine="709"/>
        <w:rPr>
          <w:rFonts w:ascii="Century Gothic" w:hAnsi="Century Gothic"/>
          <w:sz w:val="20"/>
          <w:szCs w:val="20"/>
        </w:rPr>
      </w:pPr>
      <w:r>
        <w:rPr>
          <w:rFonts w:ascii="Century Gothic" w:hAnsi="Century Gothic"/>
          <w:sz w:val="20"/>
          <w:szCs w:val="20"/>
        </w:rPr>
        <w:t xml:space="preserve">Quando em 1949, a Holanda concedeu a independência à Holanda, a pare leste da ilha de Timor não se integrou no novo países, já que era um território administrado pelos Portugueses e que estes não pretendiam descolonizar. </w:t>
      </w:r>
    </w:p>
    <w:p w:rsidR="00B302FC" w:rsidP="00B302FC">
      <w:pPr>
        <w:pStyle w:val="NoSpacing"/>
        <w:ind w:firstLine="709"/>
        <w:rPr>
          <w:rFonts w:ascii="Century Gothic" w:hAnsi="Century Gothic"/>
          <w:sz w:val="20"/>
          <w:szCs w:val="20"/>
        </w:rPr>
      </w:pPr>
      <w:r>
        <w:rPr>
          <w:rFonts w:ascii="Century Gothic" w:hAnsi="Century Gothic"/>
          <w:sz w:val="20"/>
          <w:szCs w:val="20"/>
        </w:rPr>
        <w:t xml:space="preserve">Em 1974, a Revolução dos Cravos agitou também Timor-Leste, que se preparou para encarar o futuro sem Portugal. Na ilha, onde ainda não tinham surgido movimentos de libertação, nasceram três partidos políticos: a UDT (União Democrática Timorense) que defendia a união com Portugal num quadro de autonomia; a APODETI (Associação Popular Democrática Timorense) favorável à integração do território na Indonésia; e a FRETILIN (Frente Revolucionária de Timor-Leste Independente) com um programa independentista, ligado aos ideais de esquerda. </w:t>
      </w:r>
    </w:p>
    <w:p w:rsidR="00B302FC" w:rsidP="00B302FC">
      <w:pPr>
        <w:pStyle w:val="NoSpacing"/>
        <w:ind w:firstLine="709"/>
        <w:rPr>
          <w:rFonts w:ascii="Century Gothic" w:hAnsi="Century Gothic"/>
          <w:sz w:val="20"/>
          <w:szCs w:val="20"/>
        </w:rPr>
      </w:pPr>
      <w:r>
        <w:rPr>
          <w:rFonts w:ascii="Century Gothic" w:hAnsi="Century Gothic"/>
          <w:sz w:val="20"/>
          <w:szCs w:val="20"/>
        </w:rPr>
        <w:t xml:space="preserve">Em 1975, verificaram-se confrontos entre os três partidos, cuja violência Portugal não conseguiu conter. Demasiado absorvido pela descolonização dos grandes territórios africanos, Portugal decidiu retirar-se de Timor sem reconhecer, formalmente, a legitimidade de um novo governo. </w:t>
      </w:r>
    </w:p>
    <w:p w:rsidR="00B302FC" w:rsidP="00B302FC">
      <w:pPr>
        <w:pStyle w:val="NoSpacing"/>
        <w:ind w:firstLine="709"/>
        <w:rPr>
          <w:rFonts w:ascii="Century Gothic" w:hAnsi="Century Gothic"/>
          <w:sz w:val="20"/>
          <w:szCs w:val="20"/>
        </w:rPr>
      </w:pPr>
      <w:r>
        <w:rPr>
          <w:rFonts w:ascii="Century Gothic" w:hAnsi="Century Gothic"/>
          <w:sz w:val="20"/>
          <w:szCs w:val="20"/>
        </w:rPr>
        <w:t xml:space="preserve">A 7 de dezembro de 1975, reagindo contra a tomada de poder pela FRETILIN, o líder indonésio Suharto ordena, em nome da sua cruzada anticomunista, a invasão do território. </w:t>
      </w:r>
    </w:p>
    <w:p w:rsidR="00B302FC" w:rsidP="00B302FC">
      <w:pPr>
        <w:pStyle w:val="NoSpacing"/>
        <w:ind w:firstLine="709"/>
        <w:rPr>
          <w:rFonts w:ascii="Century Gothic" w:hAnsi="Century Gothic"/>
          <w:sz w:val="20"/>
          <w:szCs w:val="20"/>
        </w:rPr>
      </w:pPr>
      <w:r>
        <w:rPr>
          <w:rFonts w:ascii="Century Gothic" w:hAnsi="Century Gothic"/>
          <w:sz w:val="20"/>
          <w:szCs w:val="20"/>
        </w:rPr>
        <w:t xml:space="preserve">Face ao sucedido, Portugal corta, de imediato, relações diplomáticas com a Indonésia e apela às Nações Unidas, que condenam a ocupação de Timor-Leste por parte de Portugal e continuam a considerar Timor-Leste como um território não autónomo, sob o domínio português. </w:t>
      </w:r>
    </w:p>
    <w:p w:rsidR="00B302FC" w:rsidP="00B302FC">
      <w:pPr>
        <w:pStyle w:val="NoSpacing"/>
        <w:ind w:firstLine="709"/>
        <w:rPr>
          <w:rFonts w:ascii="Century Gothic" w:hAnsi="Century Gothic"/>
          <w:sz w:val="20"/>
          <w:szCs w:val="20"/>
        </w:rPr>
      </w:pPr>
      <w:r>
        <w:rPr>
          <w:rFonts w:ascii="Century Gothic" w:hAnsi="Century Gothic"/>
          <w:sz w:val="20"/>
          <w:szCs w:val="20"/>
        </w:rPr>
        <w:t xml:space="preserve">Os factos, porém, contrariavam estas decisões: os indonésios, que impuseram o seu poder através do terror e da barbárie, anexaram formalmente Timor-Leste em 1976. </w:t>
      </w:r>
    </w:p>
    <w:p w:rsidR="00732426" w:rsidP="009538B4">
      <w:pPr>
        <w:pStyle w:val="NoSpacing"/>
        <w:ind w:firstLine="709"/>
        <w:rPr>
          <w:rFonts w:ascii="Century Gothic" w:hAnsi="Century Gothic"/>
          <w:sz w:val="20"/>
          <w:szCs w:val="20"/>
        </w:rPr>
      </w:pPr>
      <w:r>
        <w:rPr>
          <w:rFonts w:ascii="Century Gothic" w:hAnsi="Century Gothic"/>
          <w:sz w:val="20"/>
          <w:szCs w:val="20"/>
        </w:rPr>
        <w:t xml:space="preserve">Apesar de consumada, a anexação de Timor permaneceu ilegítima à luz do direito internacional e do entendimento da maioria dos seus habitantes. Refugiados nas montanhas, os guerrilheiros da FRETILIN encabeçaram a resistência contra o invasor, que se viu obrigado a aumentar sucessivamente o contingente militar estacionado no território. </w:t>
      </w:r>
    </w:p>
    <w:p w:rsidR="00AC4570" w:rsidP="009538B4">
      <w:pPr>
        <w:pStyle w:val="NoSpacing"/>
        <w:ind w:firstLine="709"/>
        <w:rPr>
          <w:rFonts w:ascii="Century Gothic" w:hAnsi="Century Gothic"/>
          <w:sz w:val="20"/>
          <w:szCs w:val="20"/>
        </w:rPr>
      </w:pPr>
      <w:r>
        <w:rPr>
          <w:rFonts w:ascii="Century Gothic" w:hAnsi="Century Gothic"/>
          <w:sz w:val="20"/>
          <w:szCs w:val="20"/>
        </w:rPr>
        <w:t xml:space="preserve">Numa das muitas ações de repressão sobre os timorenses, a 12 de novembro de 1991 em Díli, as tropas ocupantes abrem fogo sobre uma multidão desarmada, que homenageava, no cemitério de Santa Cruz, um independentista assassinado. O massacre fez cerca de três centenas de mortes e centenas de feridos. </w:t>
      </w:r>
    </w:p>
    <w:p w:rsidR="00AC4570" w:rsidP="009538B4">
      <w:pPr>
        <w:pStyle w:val="NoSpacing"/>
        <w:ind w:firstLine="709"/>
        <w:rPr>
          <w:rFonts w:ascii="Century Gothic" w:hAnsi="Century Gothic"/>
          <w:sz w:val="20"/>
          <w:szCs w:val="20"/>
        </w:rPr>
      </w:pPr>
      <w:r>
        <w:rPr>
          <w:rFonts w:ascii="Century Gothic" w:hAnsi="Century Gothic"/>
          <w:sz w:val="20"/>
          <w:szCs w:val="20"/>
        </w:rPr>
        <w:t xml:space="preserve">No ano seguinte, a prisão do líder de Resistência, Xanana Gusmão, é amplamente noticiada. Com a ajuda dos meios de comunicação social, Timor mobiliza a opinião pública mundial e, em 1996, a causa ganha ainda mais força com a atribuição do Prémio Nobel da Paz ao bispo de Díli, Dr. Ximenes Belo, e ao representante da Resistência timorense, Ramos Horta. </w:t>
      </w:r>
    </w:p>
    <w:p w:rsidR="00AC4570" w:rsidP="009538B4">
      <w:pPr>
        <w:pStyle w:val="NoSpacing"/>
        <w:ind w:firstLine="709"/>
        <w:rPr>
          <w:rFonts w:ascii="Century Gothic" w:hAnsi="Century Gothic"/>
          <w:sz w:val="20"/>
          <w:szCs w:val="20"/>
        </w:rPr>
      </w:pPr>
      <w:r>
        <w:rPr>
          <w:rFonts w:ascii="Century Gothic" w:hAnsi="Century Gothic"/>
          <w:sz w:val="20"/>
          <w:szCs w:val="20"/>
        </w:rPr>
        <w:t xml:space="preserve">No fim da década, pressionada pelo mundo em geral e pelos seus parceiros da ASEAN em particular, a Indonésia aceita, finalmente, que o povo timorense decida o seu destino através de um referendo, marcado para o dia 30 de agosto de 1999. Entretanto, encapotadamente, dá o seu apoio à organização de milícias armadas que iniciam ações de violência e de intimidação no território. </w:t>
      </w:r>
    </w:p>
    <w:p w:rsidR="00AC4570" w:rsidP="009538B4">
      <w:pPr>
        <w:pStyle w:val="NoSpacing"/>
        <w:ind w:firstLine="709"/>
        <w:rPr>
          <w:rFonts w:ascii="Century Gothic" w:hAnsi="Century Gothic"/>
          <w:sz w:val="20"/>
          <w:szCs w:val="20"/>
        </w:rPr>
      </w:pPr>
      <w:r>
        <w:rPr>
          <w:rFonts w:ascii="Century Gothic" w:hAnsi="Century Gothic"/>
          <w:sz w:val="20"/>
          <w:szCs w:val="20"/>
        </w:rPr>
        <w:t xml:space="preserve">O referendo, supervisionado por uma missão das Nações Unidas, a UNAMET, deu uma inequívoca vitória à independência, mas desencadeou uma escalada de terror por parte das milícias pró-indonésias. A UNAMET foi obrigada a evacuar os seus elementos e o povo timorense viu-se à mercê da destruição, torturas, assassinatos e deportações efetuadas pelas milícias, com a cumplicidade das autoridades indonésias. </w:t>
      </w:r>
    </w:p>
    <w:p w:rsidR="00AC4570" w:rsidP="009538B4">
      <w:pPr>
        <w:pStyle w:val="NoSpacing"/>
        <w:ind w:firstLine="709"/>
        <w:rPr>
          <w:rFonts w:ascii="Century Gothic" w:hAnsi="Century Gothic"/>
          <w:sz w:val="20"/>
          <w:szCs w:val="20"/>
        </w:rPr>
      </w:pPr>
      <w:r>
        <w:rPr>
          <w:rFonts w:ascii="Century Gothic" w:hAnsi="Century Gothic"/>
          <w:sz w:val="20"/>
          <w:szCs w:val="20"/>
        </w:rPr>
        <w:t xml:space="preserve">A 20 de maio de 2002, numa cerimónia solene que contou com as presenças de Portugal, Indonésia, EUA e a ONU, entre outras, nasce oficialmente a República Democrática de Timor-Leste. Pouco depois, Timor torna-se o 191º membro das Nações Unidas. </w:t>
      </w:r>
    </w:p>
    <w:p w:rsidR="00996AEC" w:rsidP="009538B4">
      <w:pPr>
        <w:pStyle w:val="NoSpacing"/>
        <w:ind w:firstLine="709"/>
        <w:rPr>
          <w:rFonts w:ascii="Century Gothic" w:hAnsi="Century Gothic"/>
          <w:sz w:val="20"/>
          <w:szCs w:val="20"/>
        </w:rPr>
      </w:pPr>
      <w:r>
        <w:rPr>
          <w:rFonts w:ascii="Century Gothic" w:hAnsi="Century Gothic"/>
          <w:sz w:val="20"/>
          <w:szCs w:val="20"/>
        </w:rPr>
        <w:t xml:space="preserve">A independência não trouxe, porém, a paz e a prosperidade desejadas, havendo em 2006 uma crise político-militar e com uma onda de violência aparentemente incontrolável. </w:t>
      </w:r>
    </w:p>
    <w:p w:rsidR="00996AEC" w:rsidP="009538B4">
      <w:pPr>
        <w:pStyle w:val="NoSpacing"/>
        <w:ind w:firstLine="709"/>
        <w:rPr>
          <w:rFonts w:ascii="Century Gothic" w:hAnsi="Century Gothic"/>
          <w:sz w:val="20"/>
          <w:szCs w:val="20"/>
        </w:rPr>
      </w:pPr>
    </w:p>
    <w:p w:rsidR="00996AEC" w:rsidRPr="002C5F61" w:rsidP="00091EDE">
      <w:pPr>
        <w:pStyle w:val="NoSpacing"/>
        <w:numPr>
          <w:ilvl w:val="0"/>
          <w:numId w:val="8"/>
        </w:numPr>
        <w:rPr>
          <w:rFonts w:ascii="Century Gothic" w:hAnsi="Century Gothic"/>
          <w:b/>
          <w:color w:val="E36C0A" w:themeColor="accent6" w:themeShade="BF"/>
          <w:sz w:val="20"/>
          <w:szCs w:val="20"/>
        </w:rPr>
      </w:pPr>
      <w:r w:rsidRPr="002C5F61">
        <w:rPr>
          <w:rFonts w:ascii="Century Gothic" w:hAnsi="Century Gothic"/>
          <w:b/>
          <w:color w:val="E36C0A" w:themeColor="accent6" w:themeShade="BF"/>
          <w:sz w:val="20"/>
          <w:szCs w:val="20"/>
        </w:rPr>
        <w:t>MODERNIZAÇÃO E ABERTURA DA CHINA À ECONOMIADE MERCADO</w:t>
      </w:r>
    </w:p>
    <w:p w:rsidR="00996AEC" w:rsidP="009538B4">
      <w:pPr>
        <w:pStyle w:val="NoSpacing"/>
        <w:ind w:firstLine="709"/>
        <w:rPr>
          <w:rFonts w:ascii="Century Gothic" w:hAnsi="Century Gothic"/>
          <w:sz w:val="20"/>
          <w:szCs w:val="20"/>
        </w:rPr>
      </w:pPr>
      <w:r>
        <w:rPr>
          <w:rFonts w:ascii="Century Gothic" w:hAnsi="Century Gothic"/>
          <w:sz w:val="20"/>
          <w:szCs w:val="20"/>
        </w:rPr>
        <w:t xml:space="preserve">O fracasso económico do maoísmo obrigou a China a repensar o seu modelo de desenvolvimento. Após a morte de Mao, em 1976, o êxito das novas economias asiáticas induziu os dirigentes chineses a abolirem a antiga política coletivista, virada para a autarcia, em prol da “modernização” do país. A China integrou-se nos sistemas </w:t>
      </w:r>
    </w:p>
    <w:p w:rsidR="00996AEC" w:rsidP="009538B4">
      <w:pPr>
        <w:pStyle w:val="NoSpacing"/>
        <w:ind w:firstLine="709"/>
        <w:rPr>
          <w:rFonts w:ascii="Century Gothic" w:hAnsi="Century Gothic"/>
          <w:sz w:val="20"/>
          <w:szCs w:val="20"/>
        </w:rPr>
      </w:pPr>
    </w:p>
    <w:p w:rsidR="00996AEC" w:rsidRPr="00091EDE" w:rsidP="00996AEC">
      <w:pPr>
        <w:pStyle w:val="NoSpacing"/>
        <w:numPr>
          <w:ilvl w:val="1"/>
          <w:numId w:val="4"/>
        </w:numPr>
        <w:rPr>
          <w:rFonts w:ascii="Century Gothic" w:hAnsi="Century Gothic"/>
          <w:color w:val="E36C0A" w:themeColor="accent6" w:themeShade="BF"/>
          <w:sz w:val="20"/>
          <w:szCs w:val="20"/>
        </w:rPr>
      </w:pPr>
      <w:r w:rsidRPr="00091EDE">
        <w:rPr>
          <w:rFonts w:ascii="Century Gothic" w:hAnsi="Century Gothic"/>
          <w:color w:val="E36C0A" w:themeColor="accent6" w:themeShade="BF"/>
          <w:sz w:val="20"/>
          <w:szCs w:val="20"/>
        </w:rPr>
        <w:t>A era “Deng”</w:t>
      </w:r>
    </w:p>
    <w:p w:rsidR="00996AEC" w:rsidP="00996AEC">
      <w:pPr>
        <w:pStyle w:val="NoSpacing"/>
        <w:ind w:firstLine="709"/>
        <w:rPr>
          <w:rFonts w:ascii="Century Gothic" w:hAnsi="Century Gothic"/>
          <w:sz w:val="20"/>
          <w:szCs w:val="20"/>
        </w:rPr>
      </w:pPr>
      <w:r>
        <w:rPr>
          <w:rFonts w:ascii="Century Gothic" w:hAnsi="Century Gothic"/>
          <w:sz w:val="20"/>
          <w:szCs w:val="20"/>
        </w:rPr>
        <w:t xml:space="preserve">A missão de mudar a face da China foi assumida por Deng Xiaoping, um comunista da velha guarda que Mao afastara durante a Revolução Cultural. </w:t>
      </w:r>
    </w:p>
    <w:p w:rsidR="00996AEC" w:rsidP="00996AEC">
      <w:pPr>
        <w:pStyle w:val="NoSpacing"/>
        <w:ind w:firstLine="709"/>
        <w:rPr>
          <w:rFonts w:ascii="Century Gothic" w:hAnsi="Century Gothic"/>
          <w:sz w:val="20"/>
          <w:szCs w:val="20"/>
        </w:rPr>
      </w:pPr>
      <w:r>
        <w:rPr>
          <w:rFonts w:ascii="Century Gothic" w:hAnsi="Century Gothic"/>
          <w:sz w:val="20"/>
          <w:szCs w:val="20"/>
        </w:rPr>
        <w:t xml:space="preserve">Seguindo uma política pragmática, simultaneamente arrojada e cautelosa, Deng dividiu a China em duas áreas geográficas distintas: o interior, essencialmente rural, permaneceria resguardado da influência externa; o literal abrir-se-ia ao capital estrangeiro, integrando-se plenamente no mercado internacional. </w:t>
      </w:r>
    </w:p>
    <w:p w:rsidR="00996AEC" w:rsidP="00996AEC">
      <w:pPr>
        <w:pStyle w:val="NoSpacing"/>
        <w:ind w:firstLine="709"/>
        <w:rPr>
          <w:rFonts w:ascii="Century Gothic" w:hAnsi="Century Gothic"/>
          <w:sz w:val="20"/>
          <w:szCs w:val="20"/>
        </w:rPr>
      </w:pPr>
      <w:r>
        <w:rPr>
          <w:rFonts w:ascii="Century Gothic" w:hAnsi="Century Gothic"/>
          <w:sz w:val="20"/>
          <w:szCs w:val="20"/>
        </w:rPr>
        <w:t xml:space="preserve">No entanto, a China camponesa não acompanhará o surto de desenvolvimento do país. O sistema agrário foi, no entanto, profundamente reestruturado: em cerca de quatro anos as terras foram descolectivizadas e entregues (em regime de arrendamento a longo prazo) aos camponeses, que puderam comercializar os excedentes, num mercado livre. Face a estas medidas, a produção agrícola chinesa cresceu 50 %. </w:t>
      </w:r>
    </w:p>
    <w:p w:rsidR="00996AEC" w:rsidP="00996AEC">
      <w:pPr>
        <w:pStyle w:val="NoSpacing"/>
        <w:ind w:firstLine="709"/>
        <w:rPr>
          <w:rFonts w:ascii="Century Gothic" w:hAnsi="Century Gothic"/>
          <w:sz w:val="20"/>
          <w:szCs w:val="20"/>
        </w:rPr>
      </w:pPr>
      <w:r>
        <w:rPr>
          <w:rFonts w:ascii="Century Gothic" w:hAnsi="Century Gothic"/>
          <w:sz w:val="20"/>
          <w:szCs w:val="20"/>
        </w:rPr>
        <w:t xml:space="preserve">Quanto à indústria, sofreu uma modificação radical: a prioridade à indústria pesada foi abandonada em favor dos produtos de consumo e a autarcia em favor da exportação. A estratégia de desenvolvimento do setor assentou no sistema de “Porta Aberta”, através da qual passaria a tecnologia e o capital estrangeiros. Em 1980 as cidades de Shenzhen, Zuhai, Shantou e Xiamen foram consideradas “Zonas Económicas Especiais”, dotadas de uma legislação ultraliberal, favorável aos negócios. As empresas de todo o Mundo foram convidadas a estabelecer-se nestas áreas, que através de contratos de parceria com as empresas locais, quer pela simples abertura de filiais. Em 1983, foram oficializados 188 contratos de parceria equitativa com multinacionais estrangeiras da área da construção, turismo, têxteis e exploração de petróleo. No ano seguinte, o Governo acrescentou aos quatro paraísos fiscais a ilha de Hainan e abriu 14 novas cidades ao investimento externo. </w:t>
      </w:r>
    </w:p>
    <w:p w:rsidR="002C5F61" w:rsidP="00996AEC">
      <w:pPr>
        <w:pStyle w:val="NoSpacing"/>
        <w:ind w:firstLine="709"/>
        <w:rPr>
          <w:rFonts w:ascii="Century Gothic" w:hAnsi="Century Gothic"/>
          <w:sz w:val="20"/>
          <w:szCs w:val="20"/>
        </w:rPr>
      </w:pPr>
      <w:r>
        <w:rPr>
          <w:rFonts w:ascii="Century Gothic" w:hAnsi="Century Gothic"/>
          <w:sz w:val="20"/>
          <w:szCs w:val="20"/>
        </w:rPr>
        <w:t xml:space="preserve">Em 1978, a China celebrou, finalmente, o tratado de paz com o Japão, pondo fim à inamizade da Segunda Guerra Mundial e, no ano seguinte, reatou as relações diplomáticas com Washington, interrompidas desde a proclamação da República Popular. </w:t>
      </w:r>
    </w:p>
    <w:p w:rsidR="002C5F61" w:rsidP="00996AEC">
      <w:pPr>
        <w:pStyle w:val="NoSpacing"/>
        <w:ind w:firstLine="709"/>
        <w:rPr>
          <w:rFonts w:ascii="Century Gothic" w:hAnsi="Century Gothic"/>
          <w:sz w:val="20"/>
          <w:szCs w:val="20"/>
        </w:rPr>
      </w:pPr>
      <w:r>
        <w:rPr>
          <w:rFonts w:ascii="Century Gothic" w:hAnsi="Century Gothic"/>
          <w:sz w:val="20"/>
          <w:szCs w:val="20"/>
        </w:rPr>
        <w:t xml:space="preserve">O país integrou-se nos circuitos económicos mundiais: em 1980, aderiu ao FMI e Banco Mundial e em 1986 candidatou-se ao GATT. </w:t>
      </w:r>
    </w:p>
    <w:p w:rsidR="002C5F61" w:rsidP="00996AEC">
      <w:pPr>
        <w:pStyle w:val="NoSpacing"/>
        <w:ind w:firstLine="709"/>
        <w:rPr>
          <w:rFonts w:ascii="Century Gothic" w:hAnsi="Century Gothic"/>
          <w:sz w:val="20"/>
          <w:szCs w:val="20"/>
        </w:rPr>
      </w:pPr>
      <w:r>
        <w:rPr>
          <w:rFonts w:ascii="Century Gothic" w:hAnsi="Century Gothic"/>
          <w:sz w:val="20"/>
          <w:szCs w:val="20"/>
        </w:rPr>
        <w:t xml:space="preserve">Com mais de um milhão de habitantes, a competitividade do país alicerça-se numa massa inesgotável de trabalhadores mal pagos e sem regalias sociais, que flui nos campos. </w:t>
      </w:r>
    </w:p>
    <w:p w:rsidR="002C5F61" w:rsidP="00996AEC">
      <w:pPr>
        <w:pStyle w:val="NoSpacing"/>
        <w:ind w:firstLine="709"/>
        <w:rPr>
          <w:rFonts w:ascii="Century Gothic" w:hAnsi="Century Gothic"/>
          <w:sz w:val="20"/>
          <w:szCs w:val="20"/>
        </w:rPr>
      </w:pPr>
      <w:r>
        <w:rPr>
          <w:rFonts w:ascii="Century Gothic" w:hAnsi="Century Gothic"/>
          <w:sz w:val="20"/>
          <w:szCs w:val="20"/>
        </w:rPr>
        <w:t xml:space="preserve">Neste país socialista, as desigualdades entre o litoral e o interior e entre os ricos e os pobres cresceram exponencialmente. O poder comunista mantém-se nas rédeas do poder, como partido único e em 1986, grandes mobilizações em favor da liberalização política foram reprimidas. </w:t>
      </w:r>
    </w:p>
    <w:p w:rsidR="002C5F61" w:rsidP="00996AEC">
      <w:pPr>
        <w:pStyle w:val="NoSpacing"/>
        <w:ind w:firstLine="709"/>
        <w:rPr>
          <w:rFonts w:ascii="Century Gothic" w:hAnsi="Century Gothic"/>
          <w:sz w:val="20"/>
          <w:szCs w:val="20"/>
        </w:rPr>
      </w:pPr>
    </w:p>
    <w:p w:rsidR="002C5F61" w:rsidRPr="00091EDE" w:rsidP="002C5F61">
      <w:pPr>
        <w:pStyle w:val="NoSpacing"/>
        <w:numPr>
          <w:ilvl w:val="1"/>
          <w:numId w:val="4"/>
        </w:numPr>
        <w:rPr>
          <w:rFonts w:ascii="Century Gothic" w:hAnsi="Century Gothic"/>
          <w:color w:val="E36C0A" w:themeColor="accent6" w:themeShade="BF"/>
          <w:sz w:val="20"/>
          <w:szCs w:val="20"/>
        </w:rPr>
      </w:pPr>
      <w:r w:rsidRPr="00091EDE">
        <w:rPr>
          <w:rFonts w:ascii="Century Gothic" w:hAnsi="Century Gothic"/>
          <w:color w:val="E36C0A" w:themeColor="accent6" w:themeShade="BF"/>
          <w:sz w:val="20"/>
          <w:szCs w:val="20"/>
        </w:rPr>
        <w:t>A integração de Hong Kong e Macau</w:t>
      </w:r>
    </w:p>
    <w:p w:rsidR="002C5F61" w:rsidP="002C5F61">
      <w:pPr>
        <w:pStyle w:val="NoSpacing"/>
        <w:ind w:firstLine="709"/>
        <w:rPr>
          <w:rFonts w:ascii="Century Gothic" w:hAnsi="Century Gothic"/>
          <w:sz w:val="20"/>
          <w:szCs w:val="20"/>
        </w:rPr>
      </w:pPr>
      <w:r>
        <w:rPr>
          <w:rFonts w:ascii="Century Gothic" w:hAnsi="Century Gothic"/>
          <w:sz w:val="20"/>
          <w:szCs w:val="20"/>
        </w:rPr>
        <w:t xml:space="preserve">A aproximação da China ao Ocidente favoreceu as negociações para a integração dos dois enclaves que se encontravam, ainda, em mãos europeias: Hong Kong sob a administração britânica e Macau sob administração Portuguesa (1557). </w:t>
      </w:r>
    </w:p>
    <w:p w:rsidR="002C5F61" w:rsidP="002C5F61">
      <w:pPr>
        <w:pStyle w:val="NoSpacing"/>
        <w:ind w:firstLine="709"/>
        <w:rPr>
          <w:rFonts w:ascii="Century Gothic" w:hAnsi="Century Gothic"/>
          <w:sz w:val="20"/>
          <w:szCs w:val="20"/>
        </w:rPr>
      </w:pPr>
      <w:r>
        <w:rPr>
          <w:rFonts w:ascii="Century Gothic" w:hAnsi="Century Gothic"/>
          <w:sz w:val="20"/>
          <w:szCs w:val="20"/>
        </w:rPr>
        <w:t xml:space="preserve">Depois de vários anos de negociações, os Ingleses acordaram, em 1984, a transferência da soberania de Hong Kong para a China, a partir de 1 de julho de 1997. O acordo instituía uma “Região Administrativa Especial”, com um elevado grau de autonomia por um período de 50 anos após a transferência dos poderes. Garantiu-se o funcionamento democrático das instituições políticas do território, que inclusive, conservou uma moeda própria, totalmente conversível. </w:t>
      </w:r>
    </w:p>
    <w:p w:rsidR="002C5F61" w:rsidP="002C5F61">
      <w:pPr>
        <w:pStyle w:val="NoSpacing"/>
        <w:ind w:firstLine="709"/>
        <w:rPr>
          <w:rFonts w:ascii="Century Gothic" w:hAnsi="Century Gothic"/>
          <w:sz w:val="20"/>
          <w:szCs w:val="20"/>
        </w:rPr>
      </w:pPr>
      <w:r>
        <w:rPr>
          <w:rFonts w:ascii="Century Gothic" w:hAnsi="Century Gothic"/>
          <w:sz w:val="20"/>
          <w:szCs w:val="20"/>
        </w:rPr>
        <w:t xml:space="preserve">Poucos anos depois (1987), celebrou-se um acordo semelhante entre Portugal e a China, com vista à integração de Macau, que ficou marcada para o dia 20 de dezembro de 1999. </w:t>
      </w:r>
    </w:p>
    <w:p w:rsidR="002C5F61" w:rsidP="002C5F61">
      <w:pPr>
        <w:pStyle w:val="NoSpacing"/>
        <w:ind w:firstLine="709"/>
        <w:rPr>
          <w:rFonts w:ascii="Century Gothic" w:hAnsi="Century Gothic"/>
          <w:sz w:val="20"/>
          <w:szCs w:val="20"/>
        </w:rPr>
      </w:pPr>
      <w:r>
        <w:rPr>
          <w:rFonts w:ascii="Century Gothic" w:hAnsi="Century Gothic"/>
          <w:sz w:val="20"/>
          <w:szCs w:val="20"/>
        </w:rPr>
        <w:t xml:space="preserve">A transferência da soberania de Macau foi mais serena, dado tratar-se de um território mais pequeno e menos desenvolvido e por estar provado o cumprimento genérico, por parte da China, do acordo estabelecido com os Ingleses. </w:t>
      </w:r>
    </w:p>
    <w:p w:rsidR="00996AEC" w:rsidP="009538B4">
      <w:pPr>
        <w:pStyle w:val="NoSpacing"/>
        <w:ind w:firstLine="709"/>
        <w:rPr>
          <w:rFonts w:ascii="Century Gothic" w:hAnsi="Century Gothic"/>
          <w:sz w:val="20"/>
          <w:szCs w:val="20"/>
        </w:rPr>
      </w:pPr>
    </w:p>
    <w:p w:rsidR="00AC4570" w:rsidP="009538B4">
      <w:pPr>
        <w:pStyle w:val="NoSpacing"/>
        <w:ind w:firstLine="709"/>
        <w:rPr>
          <w:rFonts w:ascii="Century Gothic" w:hAnsi="Century Gothic"/>
          <w:sz w:val="20"/>
          <w:szCs w:val="20"/>
        </w:rPr>
      </w:pPr>
    </w:p>
    <w:p w:rsidR="00AC4570" w:rsidP="009538B4">
      <w:pPr>
        <w:pStyle w:val="NoSpacing"/>
        <w:ind w:firstLine="709"/>
        <w:rPr>
          <w:rFonts w:ascii="Century Gothic" w:hAnsi="Century Gothic"/>
          <w:sz w:val="20"/>
          <w:szCs w:val="20"/>
        </w:rPr>
      </w:pPr>
    </w:p>
    <w:p w:rsidR="00AC4570" w:rsidP="009538B4">
      <w:pPr>
        <w:pStyle w:val="NoSpacing"/>
        <w:ind w:firstLine="709"/>
        <w:rPr>
          <w:rFonts w:ascii="Century Gothic" w:hAnsi="Century Gothic"/>
          <w:sz w:val="20"/>
          <w:szCs w:val="20"/>
        </w:rPr>
      </w:pPr>
    </w:p>
    <w:p w:rsidR="00AC4570" w:rsidRPr="001E5CFD" w:rsidP="009538B4">
      <w:pPr>
        <w:pStyle w:val="NoSpacing"/>
        <w:ind w:firstLine="709"/>
        <w:rPr>
          <w:rFonts w:ascii="Century Gothic" w:hAnsi="Century Gothic"/>
          <w:sz w:val="20"/>
          <w:szCs w:val="20"/>
        </w:rPr>
      </w:pPr>
    </w:p>
    <w:p w:rsidR="001E5CFD" w:rsidRPr="001E5CFD" w:rsidP="001E5CFD">
      <w:pPr>
        <w:pStyle w:val="NoSpacing"/>
        <w:ind w:firstLine="709"/>
        <w:rPr>
          <w:rFonts w:ascii="Century Gothic" w:hAnsi="Century Gothic"/>
          <w:color w:val="E36C0A" w:themeColor="accent6" w:themeShade="BF"/>
          <w:sz w:val="20"/>
          <w:szCs w:val="20"/>
        </w:rPr>
      </w:pPr>
      <w:r w:rsidRPr="001E5CFD">
        <w:rPr>
          <w:rFonts w:ascii="Century Gothic" w:hAnsi="Century Gothic"/>
          <w:color w:val="E36C0A" w:themeColor="accent6" w:themeShade="BF"/>
          <w:sz w:val="20"/>
          <w:szCs w:val="20"/>
        </w:rPr>
        <w:t xml:space="preserve"> </w:t>
      </w:r>
    </w:p>
    <w:p w:rsidR="00E8493A" w:rsidRPr="00E56FF1" w:rsidP="00EA26CE">
      <w:pPr>
        <w:pStyle w:val="NoSpacing"/>
        <w:ind w:firstLine="709"/>
        <w:rPr>
          <w:rFonts w:ascii="Century Gothic" w:hAnsi="Century Gothic"/>
          <w:sz w:val="20"/>
          <w:szCs w:val="20"/>
        </w:rPr>
      </w:pPr>
    </w:p>
    <w:p w:rsidR="00E56FF1" w:rsidP="00A366E9">
      <w:pPr>
        <w:pStyle w:val="NoSpacing"/>
        <w:ind w:firstLine="709"/>
        <w:rPr>
          <w:rFonts w:ascii="Century Gothic" w:hAnsi="Century Gothic"/>
          <w:sz w:val="20"/>
          <w:szCs w:val="20"/>
        </w:rPr>
      </w:pPr>
    </w:p>
    <w:p w:rsidR="00E002B5" w:rsidP="00E002B5">
      <w:pPr>
        <w:pStyle w:val="NoSpacing"/>
        <w:ind w:firstLine="709"/>
        <w:rPr>
          <w:rFonts w:ascii="Century Gothic" w:hAnsi="Century Gothic"/>
          <w:sz w:val="20"/>
          <w:szCs w:val="20"/>
        </w:rPr>
      </w:pPr>
    </w:p>
    <w:p w:rsidR="003E6FC4" w:rsidP="003E6FC4">
      <w:pPr>
        <w:pStyle w:val="NoSpacing"/>
        <w:rPr>
          <w:rFonts w:ascii="Century Gothic" w:hAnsi="Century Gothic"/>
          <w:sz w:val="20"/>
          <w:szCs w:val="20"/>
        </w:rPr>
      </w:pPr>
      <w:r>
        <w:rPr>
          <w:rFonts w:ascii="Century Gothic" w:hAnsi="Century Gothic"/>
          <w:sz w:val="20"/>
          <w:szCs w:val="20"/>
        </w:rPr>
        <w:t xml:space="preserve"> </w:t>
      </w:r>
    </w:p>
    <w:p w:rsidR="003E6FC4" w:rsidP="003E6FC4">
      <w:pPr>
        <w:pStyle w:val="NoSpacing"/>
        <w:rPr>
          <w:rFonts w:ascii="Century Gothic" w:hAnsi="Century Gothic"/>
          <w:sz w:val="20"/>
          <w:szCs w:val="20"/>
        </w:rPr>
      </w:pPr>
    </w:p>
    <w:p w:rsidR="000E1F3F" w:rsidRPr="00306637" w:rsidP="00D3056B">
      <w:pPr>
        <w:pStyle w:val="NoSpacing"/>
        <w:ind w:firstLine="709"/>
        <w:rPr>
          <w:rFonts w:ascii="Century Gothic" w:hAnsi="Century Gothic"/>
          <w:sz w:val="20"/>
          <w:szCs w:val="20"/>
        </w:rPr>
      </w:pPr>
    </w:p>
    <w:sectPr w:rsidSect="00117315">
      <w:headerReference w:type="default" r:id="rId5"/>
      <w:footerReference w:type="default" r:id="rId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F61" w:rsidRPr="00722BC4">
    <w:pPr>
      <w:pStyle w:val="Footer"/>
      <w:jc w:val="center"/>
      <w:rPr>
        <w:rFonts w:asciiTheme="majorHAnsi" w:hAnsiTheme="majorHAnsi"/>
      </w:rPr>
    </w:pPr>
    <w:r w:rsidRPr="00722BC4">
      <w:rPr>
        <w:rFonts w:ascii="Century Gothic" w:hAnsi="Century Gothic"/>
        <w:sz w:val="20"/>
        <w:szCs w:val="20"/>
      </w:rPr>
      <w:fldChar w:fldCharType="begin"/>
    </w:r>
    <w:r w:rsidRPr="00722BC4">
      <w:rPr>
        <w:rFonts w:ascii="Century Gothic" w:hAnsi="Century Gothic"/>
        <w:sz w:val="20"/>
        <w:szCs w:val="20"/>
      </w:rPr>
      <w:instrText xml:space="preserve"> PAGE   \* MERGEFORMAT </w:instrText>
    </w:r>
    <w:r w:rsidRPr="00722BC4">
      <w:rPr>
        <w:rFonts w:ascii="Century Gothic" w:hAnsi="Century Gothic"/>
        <w:sz w:val="20"/>
        <w:szCs w:val="20"/>
      </w:rPr>
      <w:fldChar w:fldCharType="separate"/>
    </w:r>
    <w:r w:rsidR="00091EDE">
      <w:rPr>
        <w:rFonts w:ascii="Century Gothic" w:hAnsi="Century Gothic"/>
        <w:noProof/>
        <w:sz w:val="20"/>
        <w:szCs w:val="20"/>
      </w:rPr>
      <w:t>12</w:t>
    </w:r>
    <w:r w:rsidRPr="00722BC4">
      <w:rPr>
        <w:rFonts w:ascii="Century Gothic" w:hAnsi="Century Gothic"/>
        <w:sz w:val="20"/>
        <w:szCs w:val="20"/>
      </w:rPr>
      <w:fldChar w:fldCharType="end"/>
    </w:r>
  </w:p>
  <w:p w:rsidR="002C5F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0E3" w:rsidP="0004623C">
      <w:pPr>
        <w:spacing w:after="0" w:line="240" w:lineRule="auto"/>
      </w:pPr>
      <w:r>
        <w:separator/>
      </w:r>
    </w:p>
  </w:footnote>
  <w:footnote w:type="continuationSeparator" w:id="1">
    <w:p w:rsidR="001540E3" w:rsidP="0004623C">
      <w:pPr>
        <w:spacing w:after="0" w:line="240" w:lineRule="auto"/>
      </w:pPr>
      <w:r>
        <w:continuationSeparator/>
      </w:r>
    </w:p>
  </w:footnote>
  <w:footnote w:id="2">
    <w:p w:rsidR="002C5F61" w:rsidRPr="00D066F7">
      <w:pPr>
        <w:pStyle w:val="FootnoteText"/>
        <w:rPr>
          <w:sz w:val="16"/>
          <w:szCs w:val="16"/>
        </w:rPr>
      </w:pPr>
      <w:r w:rsidRPr="00D066F7">
        <w:rPr>
          <w:rStyle w:val="FootnoteReference"/>
          <w:sz w:val="16"/>
          <w:szCs w:val="16"/>
        </w:rPr>
        <w:footnoteRef/>
      </w:r>
      <w:r w:rsidRPr="00D066F7">
        <w:rPr>
          <w:sz w:val="16"/>
          <w:szCs w:val="16"/>
        </w:rPr>
        <w:t xml:space="preserve"> </w:t>
      </w:r>
      <w:r w:rsidRPr="00D066F7">
        <w:rPr>
          <w:rFonts w:ascii="Century Gothic" w:hAnsi="Century Gothic"/>
          <w:sz w:val="16"/>
          <w:szCs w:val="16"/>
        </w:rPr>
        <w:t>Anunciado em 1983, o projeto era inigualável por qualquer outra potência, quer a nível orçamental quer a nível tecnológico.</w:t>
      </w:r>
    </w:p>
  </w:footnote>
  <w:footnote w:id="3">
    <w:p w:rsidR="002C5F61" w:rsidRPr="00D066F7">
      <w:pPr>
        <w:pStyle w:val="FootnoteText"/>
        <w:rPr>
          <w:sz w:val="16"/>
          <w:szCs w:val="16"/>
        </w:rPr>
      </w:pPr>
      <w:r w:rsidRPr="00D066F7">
        <w:rPr>
          <w:rStyle w:val="FootnoteReference"/>
          <w:sz w:val="16"/>
          <w:szCs w:val="16"/>
        </w:rPr>
        <w:footnoteRef/>
      </w:r>
      <w:r w:rsidRPr="00D066F7">
        <w:rPr>
          <w:sz w:val="16"/>
          <w:szCs w:val="16"/>
        </w:rPr>
        <w:t xml:space="preserve"> </w:t>
      </w:r>
      <w:r w:rsidRPr="00D066F7">
        <w:rPr>
          <w:rFonts w:ascii="Century Gothic" w:hAnsi="Century Gothic"/>
          <w:sz w:val="16"/>
          <w:szCs w:val="16"/>
        </w:rPr>
        <w:t>Economia que se alicerça sobre a alta tecnologia e os serviços que garantem um nível de vida elevado.</w:t>
      </w:r>
    </w:p>
  </w:footnote>
  <w:footnote w:id="4">
    <w:p w:rsidR="002C5F61">
      <w:pPr>
        <w:pStyle w:val="FootnoteText"/>
      </w:pPr>
      <w:r w:rsidRPr="00D066F7">
        <w:rPr>
          <w:rStyle w:val="FootnoteReference"/>
          <w:sz w:val="16"/>
          <w:szCs w:val="16"/>
        </w:rPr>
        <w:footnoteRef/>
      </w:r>
      <w:r w:rsidRPr="00D066F7">
        <w:rPr>
          <w:sz w:val="16"/>
          <w:szCs w:val="16"/>
        </w:rPr>
        <w:t xml:space="preserve"> </w:t>
      </w:r>
      <w:r w:rsidRPr="00D066F7">
        <w:rPr>
          <w:rFonts w:ascii="Century Gothic" w:hAnsi="Century Gothic"/>
          <w:sz w:val="16"/>
          <w:szCs w:val="16"/>
        </w:rPr>
        <w:t>Libertando mão de obra para o setor terciário.</w:t>
      </w:r>
    </w:p>
  </w:footnote>
  <w:footnote w:id="5">
    <w:p w:rsidR="002C5F61">
      <w:pPr>
        <w:pStyle w:val="FootnoteText"/>
      </w:pPr>
      <w:r>
        <w:rPr>
          <w:rStyle w:val="FootnoteReference"/>
        </w:rPr>
        <w:footnoteRef/>
      </w:r>
      <w:r>
        <w:t xml:space="preserve"> </w:t>
      </w:r>
      <w:r w:rsidRPr="0004412F">
        <w:rPr>
          <w:rFonts w:ascii="Century Gothic" w:hAnsi="Century Gothic"/>
        </w:rPr>
        <w:t>Grupo internacional que reúne os países mais industrializados e desenvolvidos economicamente.</w:t>
      </w:r>
    </w:p>
  </w:footnote>
  <w:footnote w:id="6">
    <w:p w:rsidR="002C5F61" w:rsidRPr="00EA26CE">
      <w:pPr>
        <w:pStyle w:val="FootnoteText"/>
        <w:rPr>
          <w:rFonts w:ascii="Century Gothic" w:hAnsi="Century Gothic"/>
          <w:sz w:val="16"/>
          <w:szCs w:val="16"/>
        </w:rPr>
      </w:pPr>
      <w:r w:rsidRPr="00EA26CE">
        <w:rPr>
          <w:rStyle w:val="FootnoteReference"/>
          <w:rFonts w:ascii="Century Gothic" w:hAnsi="Century Gothic"/>
          <w:sz w:val="16"/>
          <w:szCs w:val="16"/>
        </w:rPr>
        <w:footnoteRef/>
      </w:r>
      <w:r w:rsidRPr="00EA26CE">
        <w:rPr>
          <w:rFonts w:ascii="Century Gothic" w:hAnsi="Century Gothic"/>
          <w:sz w:val="16"/>
          <w:szCs w:val="16"/>
        </w:rPr>
        <w:t xml:space="preserve"> Este sistema teve como objetivo estabilizar as taxas de câmbio entre as moedas europeias.</w:t>
      </w:r>
    </w:p>
  </w:footnote>
  <w:footnote w:id="7">
    <w:p w:rsidR="002C5F61" w:rsidRPr="00EA26CE">
      <w:pPr>
        <w:pStyle w:val="FootnoteText"/>
        <w:rPr>
          <w:rFonts w:ascii="Century Gothic" w:hAnsi="Century Gothic"/>
          <w:sz w:val="16"/>
          <w:szCs w:val="16"/>
        </w:rPr>
      </w:pPr>
      <w:r w:rsidRPr="00EA26CE">
        <w:rPr>
          <w:rStyle w:val="FootnoteReference"/>
          <w:rFonts w:ascii="Century Gothic" w:hAnsi="Century Gothic"/>
          <w:sz w:val="16"/>
          <w:szCs w:val="16"/>
        </w:rPr>
        <w:footnoteRef/>
      </w:r>
      <w:r w:rsidRPr="00EA26CE">
        <w:rPr>
          <w:rFonts w:ascii="Century Gothic" w:hAnsi="Century Gothic"/>
          <w:sz w:val="16"/>
          <w:szCs w:val="16"/>
        </w:rPr>
        <w:t xml:space="preserve"> Visando promover as regiões mais desfavorecidas, a Comunidade criou, em 1974, a FEDER (Fundo Europeu de Desenvolvimento Regional) que veio a ser complementado com o Fundo de Coesão, destinado ao investimento nos transportes e no ambiente. </w:t>
      </w:r>
    </w:p>
  </w:footnote>
  <w:footnote w:id="8">
    <w:p w:rsidR="002C5F61" w:rsidRPr="00732426">
      <w:pPr>
        <w:pStyle w:val="FootnoteText"/>
        <w:rPr>
          <w:rFonts w:ascii="Century Gothic" w:hAnsi="Century Gothic"/>
          <w:sz w:val="18"/>
          <w:szCs w:val="18"/>
        </w:rPr>
      </w:pPr>
      <w:r w:rsidRPr="00732426">
        <w:rPr>
          <w:rStyle w:val="FootnoteReference"/>
          <w:rFonts w:ascii="Century Gothic" w:hAnsi="Century Gothic"/>
          <w:sz w:val="18"/>
          <w:szCs w:val="18"/>
        </w:rPr>
        <w:footnoteRef/>
      </w:r>
      <w:r w:rsidRPr="00732426">
        <w:rPr>
          <w:rFonts w:ascii="Century Gothic" w:hAnsi="Century Gothic"/>
          <w:sz w:val="18"/>
          <w:szCs w:val="18"/>
        </w:rPr>
        <w:t xml:space="preserve"> Nascida em 1967 agrupava a Tailândia, Malásia, Indonésia e as Filipinas, cujas economias se encaixavam perfeitamente na do Japão e nas das quatro novas potências: eram ricos em matérias-primas, nos recursos energéticos e nos bens alimentares de que os cinco necessitavam.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F61" w:rsidRPr="00371F9E" w:rsidP="00371F9E">
    <w:pPr>
      <w:pStyle w:val="Header"/>
      <w:jc w:val="right"/>
      <w:rPr>
        <w:rFonts w:ascii="Century Gothic" w:hAnsi="Century Gothic"/>
        <w:sz w:val="18"/>
        <w:szCs w:val="18"/>
      </w:rPr>
    </w:pPr>
    <w:r w:rsidRPr="00371F9E">
      <w:rPr>
        <w:rFonts w:ascii="Century Gothic" w:hAnsi="Century Gothic"/>
        <w:sz w:val="18"/>
        <w:szCs w:val="18"/>
      </w:rPr>
      <w:t>História A 12º Ano</w:t>
    </w:r>
  </w:p>
  <w:p w:rsidR="002C5F61" w:rsidRPr="00371F9E" w:rsidP="00371F9E">
    <w:pPr>
      <w:pStyle w:val="Header"/>
      <w:jc w:val="right"/>
      <w:rPr>
        <w:rFonts w:ascii="Century Gothic" w:hAnsi="Century Gothic"/>
        <w:sz w:val="18"/>
        <w:szCs w:val="18"/>
      </w:rPr>
    </w:pPr>
    <w:r w:rsidRPr="00371F9E">
      <w:rPr>
        <w:rFonts w:ascii="Century Gothic" w:hAnsi="Century Gothic"/>
        <w:sz w:val="18"/>
        <w:szCs w:val="18"/>
      </w:rPr>
      <w:t>4 de maio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71A6"/>
    <w:multiLevelType w:val="hybridMultilevel"/>
    <w:tmpl w:val="A3B61CFC"/>
    <w:lvl w:ilvl="0">
      <w:start w:val="1"/>
      <w:numFmt w:val="bullet"/>
      <w:lvlText w:val=""/>
      <w:lvlJc w:val="right"/>
      <w:pPr>
        <w:ind w:left="1485" w:hanging="360"/>
      </w:pPr>
      <w:rPr>
        <w:rFonts w:ascii="Symbol" w:hAnsi="Symbol" w:cstheme="minorBidi" w:hint="default"/>
        <w:color w:val="E36C0A" w:themeColor="accent6" w:themeShade="BF"/>
      </w:rPr>
    </w:lvl>
    <w:lvl w:ilvl="1" w:tentative="1">
      <w:start w:val="1"/>
      <w:numFmt w:val="bullet"/>
      <w:lvlText w:val="o"/>
      <w:lvlJc w:val="left"/>
      <w:pPr>
        <w:ind w:left="2205" w:hanging="360"/>
      </w:pPr>
      <w:rPr>
        <w:rFonts w:ascii="Courier New" w:hAnsi="Courier New" w:cs="Courier New" w:hint="default"/>
      </w:rPr>
    </w:lvl>
    <w:lvl w:ilvl="2" w:tentative="1">
      <w:start w:val="1"/>
      <w:numFmt w:val="bullet"/>
      <w:lvlText w:val=""/>
      <w:lvlJc w:val="left"/>
      <w:pPr>
        <w:ind w:left="2925" w:hanging="360"/>
      </w:pPr>
      <w:rPr>
        <w:rFonts w:ascii="Wingdings" w:hAnsi="Wingdings" w:hint="default"/>
      </w:rPr>
    </w:lvl>
    <w:lvl w:ilvl="3" w:tentative="1">
      <w:start w:val="1"/>
      <w:numFmt w:val="bullet"/>
      <w:lvlText w:val=""/>
      <w:lvlJc w:val="left"/>
      <w:pPr>
        <w:ind w:left="3645" w:hanging="360"/>
      </w:pPr>
      <w:rPr>
        <w:rFonts w:ascii="Symbol" w:hAnsi="Symbol" w:hint="default"/>
      </w:rPr>
    </w:lvl>
    <w:lvl w:ilvl="4" w:tentative="1">
      <w:start w:val="1"/>
      <w:numFmt w:val="bullet"/>
      <w:lvlText w:val="o"/>
      <w:lvlJc w:val="left"/>
      <w:pPr>
        <w:ind w:left="4365" w:hanging="360"/>
      </w:pPr>
      <w:rPr>
        <w:rFonts w:ascii="Courier New" w:hAnsi="Courier New" w:cs="Courier New" w:hint="default"/>
      </w:rPr>
    </w:lvl>
    <w:lvl w:ilvl="5" w:tentative="1">
      <w:start w:val="1"/>
      <w:numFmt w:val="bullet"/>
      <w:lvlText w:val=""/>
      <w:lvlJc w:val="left"/>
      <w:pPr>
        <w:ind w:left="5085" w:hanging="360"/>
      </w:pPr>
      <w:rPr>
        <w:rFonts w:ascii="Wingdings" w:hAnsi="Wingdings" w:hint="default"/>
      </w:rPr>
    </w:lvl>
    <w:lvl w:ilvl="6" w:tentative="1">
      <w:start w:val="1"/>
      <w:numFmt w:val="bullet"/>
      <w:lvlText w:val=""/>
      <w:lvlJc w:val="left"/>
      <w:pPr>
        <w:ind w:left="5805" w:hanging="360"/>
      </w:pPr>
      <w:rPr>
        <w:rFonts w:ascii="Symbol" w:hAnsi="Symbol" w:hint="default"/>
      </w:rPr>
    </w:lvl>
    <w:lvl w:ilvl="7" w:tentative="1">
      <w:start w:val="1"/>
      <w:numFmt w:val="bullet"/>
      <w:lvlText w:val="o"/>
      <w:lvlJc w:val="left"/>
      <w:pPr>
        <w:ind w:left="6525" w:hanging="360"/>
      </w:pPr>
      <w:rPr>
        <w:rFonts w:ascii="Courier New" w:hAnsi="Courier New" w:cs="Courier New" w:hint="default"/>
      </w:rPr>
    </w:lvl>
    <w:lvl w:ilvl="8" w:tentative="1">
      <w:start w:val="1"/>
      <w:numFmt w:val="bullet"/>
      <w:lvlText w:val=""/>
      <w:lvlJc w:val="left"/>
      <w:pPr>
        <w:ind w:left="7245" w:hanging="360"/>
      </w:pPr>
      <w:rPr>
        <w:rFonts w:ascii="Wingdings" w:hAnsi="Wingdings" w:hint="default"/>
      </w:rPr>
    </w:lvl>
  </w:abstractNum>
  <w:abstractNum w:abstractNumId="1">
    <w:nsid w:val="0E02161D"/>
    <w:multiLevelType w:val="hybridMultilevel"/>
    <w:tmpl w:val="C150B954"/>
    <w:lvl w:ilvl="0">
      <w:start w:val="1"/>
      <w:numFmt w:val="bullet"/>
      <w:lvlText w:val=""/>
      <w:lvlJc w:val="left"/>
      <w:pPr>
        <w:ind w:left="1211" w:hanging="360"/>
      </w:pPr>
      <w:rPr>
        <w:rFonts w:ascii="Symbol" w:hAnsi="Symbol" w:hint="default"/>
        <w:b/>
        <w:i w:val="0"/>
        <w:color w:val="E36C0A" w:themeColor="accent6" w:themeShade="BF"/>
        <w:sz w:val="24"/>
      </w:rPr>
    </w:lvl>
    <w:lvl w:ilvl="1">
      <w:start w:val="1"/>
      <w:numFmt w:val="bullet"/>
      <w:lvlText w:val=""/>
      <w:lvlJc w:val="left"/>
      <w:pPr>
        <w:ind w:left="1931" w:hanging="360"/>
      </w:pPr>
      <w:rPr>
        <w:rFonts w:ascii="Symbol" w:hAnsi="Symbol" w:hint="default"/>
        <w:b/>
        <w:i w:val="0"/>
        <w:color w:val="E36C0A" w:themeColor="accent6" w:themeShade="BF"/>
        <w:sz w:val="24"/>
      </w:rPr>
    </w:lvl>
    <w:lvl w:ilvl="2" w:tentative="1">
      <w:start w:val="1"/>
      <w:numFmt w:val="bullet"/>
      <w:lvlText w:val=""/>
      <w:lvlJc w:val="left"/>
      <w:pPr>
        <w:ind w:left="2651" w:hanging="360"/>
      </w:pPr>
      <w:rPr>
        <w:rFonts w:ascii="Wingdings" w:hAnsi="Wingdings" w:hint="default"/>
      </w:rPr>
    </w:lvl>
    <w:lvl w:ilvl="3" w:tentative="1">
      <w:start w:val="1"/>
      <w:numFmt w:val="bullet"/>
      <w:lvlText w:val=""/>
      <w:lvlJc w:val="left"/>
      <w:pPr>
        <w:ind w:left="3371" w:hanging="360"/>
      </w:pPr>
      <w:rPr>
        <w:rFonts w:ascii="Symbol" w:hAnsi="Symbol" w:hint="default"/>
      </w:rPr>
    </w:lvl>
    <w:lvl w:ilvl="4" w:tentative="1">
      <w:start w:val="1"/>
      <w:numFmt w:val="bullet"/>
      <w:lvlText w:val="o"/>
      <w:lvlJc w:val="left"/>
      <w:pPr>
        <w:ind w:left="4091" w:hanging="360"/>
      </w:pPr>
      <w:rPr>
        <w:rFonts w:ascii="Courier New" w:hAnsi="Courier New" w:cs="Courier New" w:hint="default"/>
      </w:rPr>
    </w:lvl>
    <w:lvl w:ilvl="5" w:tentative="1">
      <w:start w:val="1"/>
      <w:numFmt w:val="bullet"/>
      <w:lvlText w:val=""/>
      <w:lvlJc w:val="left"/>
      <w:pPr>
        <w:ind w:left="4811" w:hanging="360"/>
      </w:pPr>
      <w:rPr>
        <w:rFonts w:ascii="Wingdings" w:hAnsi="Wingdings" w:hint="default"/>
      </w:rPr>
    </w:lvl>
    <w:lvl w:ilvl="6" w:tentative="1">
      <w:start w:val="1"/>
      <w:numFmt w:val="bullet"/>
      <w:lvlText w:val=""/>
      <w:lvlJc w:val="left"/>
      <w:pPr>
        <w:ind w:left="5531" w:hanging="360"/>
      </w:pPr>
      <w:rPr>
        <w:rFonts w:ascii="Symbol" w:hAnsi="Symbol" w:hint="default"/>
      </w:rPr>
    </w:lvl>
    <w:lvl w:ilvl="7" w:tentative="1">
      <w:start w:val="1"/>
      <w:numFmt w:val="bullet"/>
      <w:lvlText w:val="o"/>
      <w:lvlJc w:val="left"/>
      <w:pPr>
        <w:ind w:left="6251" w:hanging="360"/>
      </w:pPr>
      <w:rPr>
        <w:rFonts w:ascii="Courier New" w:hAnsi="Courier New" w:cs="Courier New" w:hint="default"/>
      </w:rPr>
    </w:lvl>
    <w:lvl w:ilvl="8" w:tentative="1">
      <w:start w:val="1"/>
      <w:numFmt w:val="bullet"/>
      <w:lvlText w:val=""/>
      <w:lvlJc w:val="left"/>
      <w:pPr>
        <w:ind w:left="6971" w:hanging="360"/>
      </w:pPr>
      <w:rPr>
        <w:rFonts w:ascii="Wingdings" w:hAnsi="Wingdings" w:hint="default"/>
      </w:rPr>
    </w:lvl>
  </w:abstractNum>
  <w:abstractNum w:abstractNumId="2">
    <w:nsid w:val="1A0A2F81"/>
    <w:multiLevelType w:val="hybridMultilevel"/>
    <w:tmpl w:val="8B9419EA"/>
    <w:lvl w:ilvl="0">
      <w:start w:val="1"/>
      <w:numFmt w:val="bullet"/>
      <w:lvlText w:val=""/>
      <w:lvlJc w:val="right"/>
      <w:pPr>
        <w:ind w:left="2484" w:hanging="360"/>
      </w:pPr>
      <w:rPr>
        <w:rFonts w:ascii="Symbol" w:hAnsi="Symbol" w:cstheme="minorBidi" w:hint="default"/>
        <w:color w:val="E36C0A" w:themeColor="accent6" w:themeShade="BF"/>
      </w:rPr>
    </w:lvl>
    <w:lvl w:ilvl="1" w:tentative="1">
      <w:start w:val="1"/>
      <w:numFmt w:val="bullet"/>
      <w:lvlText w:val="o"/>
      <w:lvlJc w:val="left"/>
      <w:pPr>
        <w:ind w:left="3204" w:hanging="360"/>
      </w:pPr>
      <w:rPr>
        <w:rFonts w:ascii="Courier New" w:hAnsi="Courier New" w:cs="Courier New" w:hint="default"/>
      </w:rPr>
    </w:lvl>
    <w:lvl w:ilvl="2" w:tentative="1">
      <w:start w:val="1"/>
      <w:numFmt w:val="bullet"/>
      <w:lvlText w:val=""/>
      <w:lvlJc w:val="left"/>
      <w:pPr>
        <w:ind w:left="3924" w:hanging="360"/>
      </w:pPr>
      <w:rPr>
        <w:rFonts w:ascii="Wingdings" w:hAnsi="Wingdings" w:hint="default"/>
      </w:rPr>
    </w:lvl>
    <w:lvl w:ilvl="3" w:tentative="1">
      <w:start w:val="1"/>
      <w:numFmt w:val="bullet"/>
      <w:lvlText w:val=""/>
      <w:lvlJc w:val="left"/>
      <w:pPr>
        <w:ind w:left="4644" w:hanging="360"/>
      </w:pPr>
      <w:rPr>
        <w:rFonts w:ascii="Symbol" w:hAnsi="Symbol" w:hint="default"/>
      </w:rPr>
    </w:lvl>
    <w:lvl w:ilvl="4" w:tentative="1">
      <w:start w:val="1"/>
      <w:numFmt w:val="bullet"/>
      <w:lvlText w:val="o"/>
      <w:lvlJc w:val="left"/>
      <w:pPr>
        <w:ind w:left="5364" w:hanging="360"/>
      </w:pPr>
      <w:rPr>
        <w:rFonts w:ascii="Courier New" w:hAnsi="Courier New" w:cs="Courier New" w:hint="default"/>
      </w:rPr>
    </w:lvl>
    <w:lvl w:ilvl="5" w:tentative="1">
      <w:start w:val="1"/>
      <w:numFmt w:val="bullet"/>
      <w:lvlText w:val=""/>
      <w:lvlJc w:val="left"/>
      <w:pPr>
        <w:ind w:left="6084" w:hanging="360"/>
      </w:pPr>
      <w:rPr>
        <w:rFonts w:ascii="Wingdings" w:hAnsi="Wingdings" w:hint="default"/>
      </w:rPr>
    </w:lvl>
    <w:lvl w:ilvl="6" w:tentative="1">
      <w:start w:val="1"/>
      <w:numFmt w:val="bullet"/>
      <w:lvlText w:val=""/>
      <w:lvlJc w:val="left"/>
      <w:pPr>
        <w:ind w:left="6804" w:hanging="360"/>
      </w:pPr>
      <w:rPr>
        <w:rFonts w:ascii="Symbol" w:hAnsi="Symbol" w:hint="default"/>
      </w:rPr>
    </w:lvl>
    <w:lvl w:ilvl="7" w:tentative="1">
      <w:start w:val="1"/>
      <w:numFmt w:val="bullet"/>
      <w:lvlText w:val="o"/>
      <w:lvlJc w:val="left"/>
      <w:pPr>
        <w:ind w:left="7524" w:hanging="360"/>
      </w:pPr>
      <w:rPr>
        <w:rFonts w:ascii="Courier New" w:hAnsi="Courier New" w:cs="Courier New" w:hint="default"/>
      </w:rPr>
    </w:lvl>
    <w:lvl w:ilvl="8" w:tentative="1">
      <w:start w:val="1"/>
      <w:numFmt w:val="bullet"/>
      <w:lvlText w:val=""/>
      <w:lvlJc w:val="left"/>
      <w:pPr>
        <w:ind w:left="8244" w:hanging="360"/>
      </w:pPr>
      <w:rPr>
        <w:rFonts w:ascii="Wingdings" w:hAnsi="Wingdings" w:hint="default"/>
      </w:rPr>
    </w:lvl>
  </w:abstractNum>
  <w:abstractNum w:abstractNumId="3">
    <w:nsid w:val="4AB245A3"/>
    <w:multiLevelType w:val="hybridMultilevel"/>
    <w:tmpl w:val="F9D036EE"/>
    <w:lvl w:ilvl="0">
      <w:start w:val="1"/>
      <w:numFmt w:val="bullet"/>
      <w:lvlText w:val=""/>
      <w:lvlJc w:val="right"/>
      <w:pPr>
        <w:ind w:left="1429" w:hanging="360"/>
      </w:pPr>
      <w:rPr>
        <w:rFonts w:ascii="Symbol" w:hAnsi="Symbol" w:cstheme="minorBidi" w:hint="default"/>
        <w:color w:val="E36C0A" w:themeColor="accent6" w:themeShade="BF"/>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4">
    <w:nsid w:val="58324941"/>
    <w:multiLevelType w:val="hybridMultilevel"/>
    <w:tmpl w:val="E3FA9436"/>
    <w:lvl w:ilvl="0">
      <w:start w:val="1"/>
      <w:numFmt w:val="bullet"/>
      <w:lvlText w:val=""/>
      <w:lvlJc w:val="left"/>
      <w:pPr>
        <w:ind w:left="2205" w:hanging="360"/>
      </w:pPr>
      <w:rPr>
        <w:rFonts w:ascii="Symbol" w:hAnsi="Symbol" w:hint="default"/>
        <w:b/>
        <w:i w:val="0"/>
        <w:color w:val="E36C0A" w:themeColor="accent6" w:themeShade="BF"/>
        <w:sz w:val="24"/>
      </w:rPr>
    </w:lvl>
    <w:lvl w:ilvl="1" w:tentative="1">
      <w:start w:val="1"/>
      <w:numFmt w:val="bullet"/>
      <w:lvlText w:val="o"/>
      <w:lvlJc w:val="left"/>
      <w:pPr>
        <w:ind w:left="2925" w:hanging="360"/>
      </w:pPr>
      <w:rPr>
        <w:rFonts w:ascii="Courier New" w:hAnsi="Courier New" w:cs="Courier New" w:hint="default"/>
      </w:rPr>
    </w:lvl>
    <w:lvl w:ilvl="2" w:tentative="1">
      <w:start w:val="1"/>
      <w:numFmt w:val="bullet"/>
      <w:lvlText w:val=""/>
      <w:lvlJc w:val="left"/>
      <w:pPr>
        <w:ind w:left="3645" w:hanging="360"/>
      </w:pPr>
      <w:rPr>
        <w:rFonts w:ascii="Wingdings" w:hAnsi="Wingdings" w:hint="default"/>
      </w:rPr>
    </w:lvl>
    <w:lvl w:ilvl="3" w:tentative="1">
      <w:start w:val="1"/>
      <w:numFmt w:val="bullet"/>
      <w:lvlText w:val=""/>
      <w:lvlJc w:val="left"/>
      <w:pPr>
        <w:ind w:left="4365" w:hanging="360"/>
      </w:pPr>
      <w:rPr>
        <w:rFonts w:ascii="Symbol" w:hAnsi="Symbol" w:hint="default"/>
      </w:rPr>
    </w:lvl>
    <w:lvl w:ilvl="4" w:tentative="1">
      <w:start w:val="1"/>
      <w:numFmt w:val="bullet"/>
      <w:lvlText w:val="o"/>
      <w:lvlJc w:val="left"/>
      <w:pPr>
        <w:ind w:left="5085" w:hanging="360"/>
      </w:pPr>
      <w:rPr>
        <w:rFonts w:ascii="Courier New" w:hAnsi="Courier New" w:cs="Courier New" w:hint="default"/>
      </w:rPr>
    </w:lvl>
    <w:lvl w:ilvl="5" w:tentative="1">
      <w:start w:val="1"/>
      <w:numFmt w:val="bullet"/>
      <w:lvlText w:val=""/>
      <w:lvlJc w:val="left"/>
      <w:pPr>
        <w:ind w:left="5805" w:hanging="360"/>
      </w:pPr>
      <w:rPr>
        <w:rFonts w:ascii="Wingdings" w:hAnsi="Wingdings" w:hint="default"/>
      </w:rPr>
    </w:lvl>
    <w:lvl w:ilvl="6" w:tentative="1">
      <w:start w:val="1"/>
      <w:numFmt w:val="bullet"/>
      <w:lvlText w:val=""/>
      <w:lvlJc w:val="left"/>
      <w:pPr>
        <w:ind w:left="6525" w:hanging="360"/>
      </w:pPr>
      <w:rPr>
        <w:rFonts w:ascii="Symbol" w:hAnsi="Symbol" w:hint="default"/>
      </w:rPr>
    </w:lvl>
    <w:lvl w:ilvl="7" w:tentative="1">
      <w:start w:val="1"/>
      <w:numFmt w:val="bullet"/>
      <w:lvlText w:val="o"/>
      <w:lvlJc w:val="left"/>
      <w:pPr>
        <w:ind w:left="7245" w:hanging="360"/>
      </w:pPr>
      <w:rPr>
        <w:rFonts w:ascii="Courier New" w:hAnsi="Courier New" w:cs="Courier New" w:hint="default"/>
      </w:rPr>
    </w:lvl>
    <w:lvl w:ilvl="8" w:tentative="1">
      <w:start w:val="1"/>
      <w:numFmt w:val="bullet"/>
      <w:lvlText w:val=""/>
      <w:lvlJc w:val="left"/>
      <w:pPr>
        <w:ind w:left="7965" w:hanging="360"/>
      </w:pPr>
      <w:rPr>
        <w:rFonts w:ascii="Wingdings" w:hAnsi="Wingdings" w:hint="default"/>
      </w:rPr>
    </w:lvl>
  </w:abstractNum>
  <w:abstractNum w:abstractNumId="5">
    <w:nsid w:val="5A860119"/>
    <w:multiLevelType w:val="hybridMultilevel"/>
    <w:tmpl w:val="AB90357A"/>
    <w:lvl w:ilvl="0">
      <w:start w:val="1"/>
      <w:numFmt w:val="bullet"/>
      <w:lvlText w:val=""/>
      <w:lvlJc w:val="right"/>
      <w:pPr>
        <w:ind w:left="2484" w:hanging="360"/>
      </w:pPr>
      <w:rPr>
        <w:rFonts w:ascii="Symbol" w:hAnsi="Symbol" w:cstheme="minorBidi" w:hint="default"/>
        <w:color w:val="FF0000"/>
      </w:rPr>
    </w:lvl>
    <w:lvl w:ilvl="1" w:tentative="1">
      <w:start w:val="1"/>
      <w:numFmt w:val="bullet"/>
      <w:lvlText w:val="o"/>
      <w:lvlJc w:val="left"/>
      <w:pPr>
        <w:ind w:left="3204" w:hanging="360"/>
      </w:pPr>
      <w:rPr>
        <w:rFonts w:ascii="Courier New" w:hAnsi="Courier New" w:cs="Courier New" w:hint="default"/>
      </w:rPr>
    </w:lvl>
    <w:lvl w:ilvl="2" w:tentative="1">
      <w:start w:val="1"/>
      <w:numFmt w:val="bullet"/>
      <w:lvlText w:val=""/>
      <w:lvlJc w:val="left"/>
      <w:pPr>
        <w:ind w:left="3924" w:hanging="360"/>
      </w:pPr>
      <w:rPr>
        <w:rFonts w:ascii="Wingdings" w:hAnsi="Wingdings" w:hint="default"/>
      </w:rPr>
    </w:lvl>
    <w:lvl w:ilvl="3" w:tentative="1">
      <w:start w:val="1"/>
      <w:numFmt w:val="bullet"/>
      <w:lvlText w:val=""/>
      <w:lvlJc w:val="left"/>
      <w:pPr>
        <w:ind w:left="4644" w:hanging="360"/>
      </w:pPr>
      <w:rPr>
        <w:rFonts w:ascii="Symbol" w:hAnsi="Symbol" w:hint="default"/>
      </w:rPr>
    </w:lvl>
    <w:lvl w:ilvl="4" w:tentative="1">
      <w:start w:val="1"/>
      <w:numFmt w:val="bullet"/>
      <w:lvlText w:val="o"/>
      <w:lvlJc w:val="left"/>
      <w:pPr>
        <w:ind w:left="5364" w:hanging="360"/>
      </w:pPr>
      <w:rPr>
        <w:rFonts w:ascii="Courier New" w:hAnsi="Courier New" w:cs="Courier New" w:hint="default"/>
      </w:rPr>
    </w:lvl>
    <w:lvl w:ilvl="5" w:tentative="1">
      <w:start w:val="1"/>
      <w:numFmt w:val="bullet"/>
      <w:lvlText w:val=""/>
      <w:lvlJc w:val="left"/>
      <w:pPr>
        <w:ind w:left="6084" w:hanging="360"/>
      </w:pPr>
      <w:rPr>
        <w:rFonts w:ascii="Wingdings" w:hAnsi="Wingdings" w:hint="default"/>
      </w:rPr>
    </w:lvl>
    <w:lvl w:ilvl="6" w:tentative="1">
      <w:start w:val="1"/>
      <w:numFmt w:val="bullet"/>
      <w:lvlText w:val=""/>
      <w:lvlJc w:val="left"/>
      <w:pPr>
        <w:ind w:left="6804" w:hanging="360"/>
      </w:pPr>
      <w:rPr>
        <w:rFonts w:ascii="Symbol" w:hAnsi="Symbol" w:hint="default"/>
      </w:rPr>
    </w:lvl>
    <w:lvl w:ilvl="7" w:tentative="1">
      <w:start w:val="1"/>
      <w:numFmt w:val="bullet"/>
      <w:lvlText w:val="o"/>
      <w:lvlJc w:val="left"/>
      <w:pPr>
        <w:ind w:left="7524" w:hanging="360"/>
      </w:pPr>
      <w:rPr>
        <w:rFonts w:ascii="Courier New" w:hAnsi="Courier New" w:cs="Courier New" w:hint="default"/>
      </w:rPr>
    </w:lvl>
    <w:lvl w:ilvl="8" w:tentative="1">
      <w:start w:val="1"/>
      <w:numFmt w:val="bullet"/>
      <w:lvlText w:val=""/>
      <w:lvlJc w:val="left"/>
      <w:pPr>
        <w:ind w:left="8244" w:hanging="360"/>
      </w:pPr>
      <w:rPr>
        <w:rFonts w:ascii="Wingdings" w:hAnsi="Wingdings" w:hint="default"/>
      </w:rPr>
    </w:lvl>
  </w:abstractNum>
  <w:abstractNum w:abstractNumId="6">
    <w:nsid w:val="60F731A9"/>
    <w:multiLevelType w:val="hybridMultilevel"/>
    <w:tmpl w:val="9864C248"/>
    <w:lvl w:ilvl="0">
      <w:start w:val="1"/>
      <w:numFmt w:val="bullet"/>
      <w:lvlText w:val=""/>
      <w:lvlJc w:val="left"/>
      <w:pPr>
        <w:ind w:left="765" w:hanging="360"/>
      </w:pPr>
      <w:rPr>
        <w:rFonts w:ascii="Symbol" w:hAnsi="Symbol" w:hint="default"/>
        <w:b/>
        <w:i w:val="0"/>
        <w:color w:val="E36C0A" w:themeColor="accent6" w:themeShade="BF"/>
        <w:sz w:val="24"/>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7">
    <w:nsid w:val="616C3BE0"/>
    <w:multiLevelType w:val="hybridMultilevel"/>
    <w:tmpl w:val="3EAE288E"/>
    <w:lvl w:ilvl="0">
      <w:start w:val="1"/>
      <w:numFmt w:val="bullet"/>
      <w:lvlText w:val=""/>
      <w:lvlJc w:val="right"/>
      <w:pPr>
        <w:ind w:left="2484" w:hanging="360"/>
      </w:pPr>
      <w:rPr>
        <w:rFonts w:ascii="Symbol" w:hAnsi="Symbol" w:cstheme="minorBidi" w:hint="default"/>
        <w:color w:val="E36C0A" w:themeColor="accent6" w:themeShade="BF"/>
      </w:rPr>
    </w:lvl>
    <w:lvl w:ilvl="1" w:tentative="1">
      <w:start w:val="1"/>
      <w:numFmt w:val="bullet"/>
      <w:lvlText w:val="o"/>
      <w:lvlJc w:val="left"/>
      <w:pPr>
        <w:ind w:left="3204" w:hanging="360"/>
      </w:pPr>
      <w:rPr>
        <w:rFonts w:ascii="Courier New" w:hAnsi="Courier New" w:cs="Courier New" w:hint="default"/>
      </w:rPr>
    </w:lvl>
    <w:lvl w:ilvl="2" w:tentative="1">
      <w:start w:val="1"/>
      <w:numFmt w:val="bullet"/>
      <w:lvlText w:val=""/>
      <w:lvlJc w:val="left"/>
      <w:pPr>
        <w:ind w:left="3924" w:hanging="360"/>
      </w:pPr>
      <w:rPr>
        <w:rFonts w:ascii="Wingdings" w:hAnsi="Wingdings" w:hint="default"/>
      </w:rPr>
    </w:lvl>
    <w:lvl w:ilvl="3" w:tentative="1">
      <w:start w:val="1"/>
      <w:numFmt w:val="bullet"/>
      <w:lvlText w:val=""/>
      <w:lvlJc w:val="left"/>
      <w:pPr>
        <w:ind w:left="4644" w:hanging="360"/>
      </w:pPr>
      <w:rPr>
        <w:rFonts w:ascii="Symbol" w:hAnsi="Symbol" w:hint="default"/>
      </w:rPr>
    </w:lvl>
    <w:lvl w:ilvl="4" w:tentative="1">
      <w:start w:val="1"/>
      <w:numFmt w:val="bullet"/>
      <w:lvlText w:val="o"/>
      <w:lvlJc w:val="left"/>
      <w:pPr>
        <w:ind w:left="5364" w:hanging="360"/>
      </w:pPr>
      <w:rPr>
        <w:rFonts w:ascii="Courier New" w:hAnsi="Courier New" w:cs="Courier New" w:hint="default"/>
      </w:rPr>
    </w:lvl>
    <w:lvl w:ilvl="5" w:tentative="1">
      <w:start w:val="1"/>
      <w:numFmt w:val="bullet"/>
      <w:lvlText w:val=""/>
      <w:lvlJc w:val="left"/>
      <w:pPr>
        <w:ind w:left="6084" w:hanging="360"/>
      </w:pPr>
      <w:rPr>
        <w:rFonts w:ascii="Wingdings" w:hAnsi="Wingdings" w:hint="default"/>
      </w:rPr>
    </w:lvl>
    <w:lvl w:ilvl="6" w:tentative="1">
      <w:start w:val="1"/>
      <w:numFmt w:val="bullet"/>
      <w:lvlText w:val=""/>
      <w:lvlJc w:val="left"/>
      <w:pPr>
        <w:ind w:left="6804" w:hanging="360"/>
      </w:pPr>
      <w:rPr>
        <w:rFonts w:ascii="Symbol" w:hAnsi="Symbol" w:hint="default"/>
      </w:rPr>
    </w:lvl>
    <w:lvl w:ilvl="7" w:tentative="1">
      <w:start w:val="1"/>
      <w:numFmt w:val="bullet"/>
      <w:lvlText w:val="o"/>
      <w:lvlJc w:val="left"/>
      <w:pPr>
        <w:ind w:left="7524" w:hanging="360"/>
      </w:pPr>
      <w:rPr>
        <w:rFonts w:ascii="Courier New" w:hAnsi="Courier New" w:cs="Courier New" w:hint="default"/>
      </w:rPr>
    </w:lvl>
    <w:lvl w:ilvl="8" w:tentative="1">
      <w:start w:val="1"/>
      <w:numFmt w:val="bullet"/>
      <w:lvlText w:val=""/>
      <w:lvlJc w:val="left"/>
      <w:pPr>
        <w:ind w:left="8244" w:hanging="360"/>
      </w:pPr>
      <w:rPr>
        <w:rFonts w:ascii="Wingdings" w:hAnsi="Wingdings" w:hint="default"/>
      </w:rPr>
    </w:lvl>
  </w:abstractNum>
  <w:num w:numId="1">
    <w:abstractNumId w:val="6"/>
  </w:num>
  <w:num w:numId="2">
    <w:abstractNumId w:val="0"/>
  </w:num>
  <w:num w:numId="3">
    <w:abstractNumId w:val="4"/>
  </w:num>
  <w:num w:numId="4">
    <w:abstractNumId w:val="1"/>
  </w:num>
  <w:num w:numId="5">
    <w:abstractNumId w:val="7"/>
  </w:num>
  <w:num w:numId="6">
    <w:abstractNumId w:val="2"/>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0"/>
    <w:footnote w:id="1"/>
  </w:footnotePr>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5606"/>
    <w:pPr>
      <w:spacing w:after="0" w:line="240" w:lineRule="auto"/>
    </w:pPr>
  </w:style>
  <w:style w:type="paragraph" w:styleId="FootnoteText">
    <w:name w:val="footnote text"/>
    <w:basedOn w:val="Normal"/>
    <w:link w:val="TextodenotaderodapCarcter"/>
    <w:uiPriority w:val="99"/>
    <w:semiHidden/>
    <w:unhideWhenUsed/>
    <w:rsid w:val="0004623C"/>
    <w:pPr>
      <w:spacing w:after="0" w:line="240" w:lineRule="auto"/>
    </w:pPr>
    <w:rPr>
      <w:sz w:val="20"/>
      <w:szCs w:val="20"/>
    </w:rPr>
  </w:style>
  <w:style w:type="character" w:customStyle="1" w:styleId="TextodenotaderodapCarcter">
    <w:name w:val="Texto de nota de rodapé Carácter"/>
    <w:basedOn w:val="DefaultParagraphFont"/>
    <w:link w:val="FootnoteText"/>
    <w:uiPriority w:val="99"/>
    <w:semiHidden/>
    <w:rsid w:val="0004623C"/>
    <w:rPr>
      <w:sz w:val="20"/>
      <w:szCs w:val="20"/>
    </w:rPr>
  </w:style>
  <w:style w:type="character" w:styleId="FootnoteReference">
    <w:name w:val="footnote reference"/>
    <w:basedOn w:val="DefaultParagraphFont"/>
    <w:uiPriority w:val="99"/>
    <w:semiHidden/>
    <w:unhideWhenUsed/>
    <w:rsid w:val="0004623C"/>
    <w:rPr>
      <w:vertAlign w:val="superscript"/>
    </w:rPr>
  </w:style>
  <w:style w:type="paragraph" w:styleId="BalloonText">
    <w:name w:val="Balloon Text"/>
    <w:basedOn w:val="Normal"/>
    <w:link w:val="TextodebaloCarcter"/>
    <w:uiPriority w:val="99"/>
    <w:semiHidden/>
    <w:unhideWhenUsed/>
    <w:rsid w:val="00FE6C27"/>
    <w:pPr>
      <w:spacing w:after="0" w:line="240" w:lineRule="auto"/>
    </w:pPr>
    <w:rPr>
      <w:rFonts w:ascii="Tahoma" w:hAnsi="Tahoma" w:cs="Tahoma"/>
      <w:sz w:val="16"/>
      <w:szCs w:val="16"/>
    </w:rPr>
  </w:style>
  <w:style w:type="character" w:customStyle="1" w:styleId="TextodebaloCarcter">
    <w:name w:val="Texto de balão Carácter"/>
    <w:basedOn w:val="DefaultParagraphFont"/>
    <w:link w:val="BalloonText"/>
    <w:uiPriority w:val="99"/>
    <w:semiHidden/>
    <w:rsid w:val="00FE6C27"/>
    <w:rPr>
      <w:rFonts w:ascii="Tahoma" w:hAnsi="Tahoma" w:cs="Tahoma"/>
      <w:sz w:val="16"/>
      <w:szCs w:val="16"/>
    </w:rPr>
  </w:style>
  <w:style w:type="paragraph" w:styleId="Header">
    <w:name w:val="header"/>
    <w:basedOn w:val="Normal"/>
    <w:link w:val="CabealhoCarcter"/>
    <w:uiPriority w:val="99"/>
    <w:semiHidden/>
    <w:unhideWhenUsed/>
    <w:rsid w:val="00371F9E"/>
    <w:pPr>
      <w:tabs>
        <w:tab w:val="center" w:pos="4252"/>
        <w:tab w:val="right" w:pos="8504"/>
      </w:tabs>
      <w:spacing w:after="0" w:line="240" w:lineRule="auto"/>
    </w:pPr>
  </w:style>
  <w:style w:type="character" w:customStyle="1" w:styleId="CabealhoCarcter">
    <w:name w:val="Cabeçalho Carácter"/>
    <w:basedOn w:val="DefaultParagraphFont"/>
    <w:link w:val="Header"/>
    <w:uiPriority w:val="99"/>
    <w:semiHidden/>
    <w:rsid w:val="00371F9E"/>
  </w:style>
  <w:style w:type="paragraph" w:styleId="Footer">
    <w:name w:val="footer"/>
    <w:basedOn w:val="Normal"/>
    <w:link w:val="RodapCarcter"/>
    <w:uiPriority w:val="99"/>
    <w:unhideWhenUsed/>
    <w:rsid w:val="00371F9E"/>
    <w:pPr>
      <w:tabs>
        <w:tab w:val="center" w:pos="4252"/>
        <w:tab w:val="right" w:pos="8504"/>
      </w:tabs>
      <w:spacing w:after="0" w:line="240" w:lineRule="auto"/>
    </w:pPr>
  </w:style>
  <w:style w:type="character" w:customStyle="1" w:styleId="RodapCarcter">
    <w:name w:val="Rodapé Carácter"/>
    <w:basedOn w:val="DefaultParagraphFont"/>
    <w:link w:val="Footer"/>
    <w:uiPriority w:val="99"/>
    <w:rsid w:val="00371F9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Relationship><Relationship Id="rId2" Type="http://schemas.openxmlformats.org/officeDocument/2006/relationships/settings" Target="settings.xml"></Relationship><Relationship Id="rId3" Type="http://schemas.openxmlformats.org/officeDocument/2006/relationships/webSettings" Target="webSettings.xml"></Relationship><Relationship Id="rId4" Type="http://schemas.openxmlformats.org/officeDocument/2006/relationships/fontTable" Target="fontTable.xml"></Relationship><Relationship Id="rId5" Type="http://schemas.openxmlformats.org/officeDocument/2006/relationships/header" Target="header1.xml"></Relationship><Relationship Id="rId6" Type="http://schemas.openxmlformats.org/officeDocument/2006/relationships/footer" Target="footer1.xml"></Relationship><Relationship Id="rId7" Type="http://schemas.openxmlformats.org/officeDocument/2006/relationships/theme" Target="theme/theme1.xml"></Relationship><Relationship Id="rId8" Type="http://schemas.openxmlformats.org/officeDocument/2006/relationships/numbering" Target="numbering.xml"></Relationship><Relationship Id="rId9" Type="http://schemas.openxmlformats.org/officeDocument/2006/relationships/styles" Target="styles.xml"></Relationshi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1030</TotalTime>
  <Pages>1</Pages>
  <Words>5627</Words>
  <Characters>30392</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 Augusto</dc:creator>
  <cp:lastModifiedBy>Manuel Augusto</cp:lastModifiedBy>
  <cp:revision>13</cp:revision>
  <dcterms:created xsi:type="dcterms:W3CDTF">2012-04-28T18:37:00Z</dcterms:created>
  <dcterms:modified xsi:type="dcterms:W3CDTF">2012-05-03T14:42:00Z</dcterms:modified>
</cp:coreProperties>
</file>