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C47483" w:rsidRPr="00646B82" w:rsidP="00C47483">
      <w:pPr>
        <w:rPr>
          <w:rFonts w:ascii="Times New Roman" w:hAnsi="Times New Roman" w:cs="Times New Roman"/>
          <w:b/>
          <w:color w:val="FF0000"/>
          <w:sz w:val="28"/>
        </w:rPr>
      </w:pPr>
      <w:r w:rsidRPr="00646B82">
        <w:rPr>
          <w:rFonts w:ascii="Times New Roman" w:hAnsi="Times New Roman" w:cs="Times New Roman"/>
          <w:b/>
          <w:color w:val="FF0000"/>
          <w:sz w:val="28"/>
        </w:rPr>
        <w:t xml:space="preserve">A cooperação internacional </w:t>
      </w:r>
    </w:p>
    <w:p w:rsidR="00C47483" w:rsidP="00C47483">
      <w:pPr>
        <w:spacing w:after="0"/>
        <w:ind w:firstLine="708"/>
      </w:pPr>
      <w:r>
        <w:t xml:space="preserve">Existem países que partilham recursos hídricos, pelo que se tornou necessário definir, a nível internacional, princípios e normas de utilização da água. </w:t>
      </w:r>
    </w:p>
    <w:p w:rsidR="00C47483" w:rsidP="00C47483">
      <w:pPr>
        <w:spacing w:after="0"/>
        <w:ind w:firstLine="708"/>
      </w:pPr>
      <w:r>
        <w:t>A Carta Europeia da Água, assinada pelos países-membros do Conselho da Europa (1968), a Conferência da Água das Nações Unidas (1977), a Convenção de Helsínquia (1992) e a Convenção Luso-Espanhola (1998) são exemplos que evidenciam a necessidade de cooperação internacional na gestão e utilização da água, uma vez que se trata de um bem comum que não pode ser contido por fronteiras públicas.</w:t>
      </w:r>
    </w:p>
    <w:p w:rsidR="00C47483" w:rsidRPr="00C47483" w:rsidP="00C47483">
      <w:pPr>
        <w:spacing w:after="0"/>
        <w:ind w:firstLine="708"/>
        <w:rPr>
          <w:b/>
        </w:rPr>
      </w:pPr>
      <w:r w:rsidRPr="00C47483">
        <w:rPr>
          <w:b/>
        </w:rPr>
        <w:t>São objetivos da coordenação a nível internacional:</w:t>
      </w:r>
    </w:p>
    <w:p w:rsidR="00C47483" w:rsidP="00C47483">
      <w:pPr>
        <w:pStyle w:val="ListParagraph"/>
        <w:numPr>
          <w:ilvl w:val="0"/>
          <w:numId w:val="4"/>
        </w:numPr>
        <w:spacing w:after="0"/>
      </w:pPr>
      <w:r>
        <w:t>Promover a gestão integrada dos recursos hídricos internacionais;</w:t>
      </w:r>
    </w:p>
    <w:p w:rsidR="00C47483" w:rsidP="00C47483">
      <w:pPr>
        <w:pStyle w:val="ListParagraph"/>
        <w:numPr>
          <w:ilvl w:val="0"/>
          <w:numId w:val="4"/>
        </w:numPr>
        <w:spacing w:after="0"/>
      </w:pPr>
      <w:r>
        <w:t>Dinamizar a cooperação técnica ao nível da caracterização, da conservação e da proteção dos recursos hídricos;</w:t>
      </w:r>
    </w:p>
    <w:p w:rsidR="00C47483" w:rsidP="00C47483">
      <w:pPr>
        <w:pStyle w:val="ListParagraph"/>
        <w:numPr>
          <w:ilvl w:val="0"/>
          <w:numId w:val="4"/>
        </w:numPr>
        <w:spacing w:after="0"/>
      </w:pPr>
      <w:r>
        <w:t>Garantir o respeito mútuo entre os países que partilham os mesmos recursos;</w:t>
      </w:r>
    </w:p>
    <w:p w:rsidR="00C47483" w:rsidP="00C47483">
      <w:pPr>
        <w:pStyle w:val="ListParagraph"/>
        <w:numPr>
          <w:ilvl w:val="0"/>
          <w:numId w:val="4"/>
        </w:numPr>
        <w:spacing w:after="0"/>
      </w:pPr>
      <w:r>
        <w:t>Prevenir e resolver conflitos internacionais relativamente à utilização da água.</w:t>
      </w:r>
    </w:p>
    <w:p w:rsidR="00C47483" w:rsidP="00C47483">
      <w:pPr>
        <w:spacing w:after="0"/>
        <w:ind w:left="708"/>
      </w:pPr>
    </w:p>
    <w:p w:rsidR="00C47483" w:rsidP="00C47483">
      <w:pPr>
        <w:spacing w:after="0"/>
        <w:ind w:firstLine="708"/>
      </w:pPr>
      <w:r>
        <w:t xml:space="preserve">Para Portugal, assume particular importância a política da EU sobre a água definida na Diretiva Quadro da Água (DQA), aprovada durante a presidência portuguesa da Comunidade em 2000, que estabelece as normas comunitárias relativas à utilização, conservação e proteção dos recursos hídricos. </w:t>
      </w:r>
    </w:p>
    <w:p w:rsidR="00C47483" w:rsidP="00C47483">
      <w:pPr>
        <w:spacing w:after="0"/>
        <w:ind w:firstLine="708"/>
      </w:pPr>
      <w:r w:rsidRPr="00C47483">
        <w:rPr>
          <w:b/>
        </w:rPr>
        <w:t>A Lei da água transpôs para a ordem jurídica nacional a DQA. O grande objetivo é promover uma gestão sustentável dos recursos hídricos</w:t>
      </w:r>
      <w:r>
        <w:t xml:space="preserve">. Deste modo, todos os planos respeitantes à política nacional da água enquadram-se na política comunitária. Também os acordos entre Portugal e Espanha relativamente à gestão das bacias hidrográficas comuns têm de respeitar as normas comunitárias.  </w:t>
      </w:r>
    </w:p>
    <w:p w:rsidR="00C47483" w:rsidP="00C47483">
      <w:pPr>
        <w:spacing w:after="0"/>
        <w:ind w:firstLine="708"/>
      </w:pPr>
      <w:r>
        <w:t xml:space="preserve">No caso da Península Ibérica, a necessidade da conjugação de esforços e o respeito pelos direitos internacionais, no âmbito da gestão da água, tornaram-se evidentes. Assim, o planeamento e a gestão dos recursos hídricos portugueses não pode deixar de ser articulado com o planeamento e a gestão dos recursos hídricos da parte espanhola das bacias partilhadas. Existe uma obrigação recíproca de dar conhecimento e conhecer os planos e decisões relativos a intervenções nessas bacias.  </w:t>
      </w:r>
    </w:p>
    <w:p w:rsidR="00C47483" w:rsidP="00C47483">
      <w:pPr>
        <w:spacing w:after="0"/>
        <w:ind w:firstLine="708"/>
      </w:pPr>
      <w:r>
        <w:t xml:space="preserve">Para Portugal, a regulamentação e o cumprimento das normas comunitárias e da Convenção Luso-Espanhola, relativamente à partilha das bacias hidrográficas, assume maior importância, pois é ao território português que afluem as águas vindas de Espanha. Assim, podem ocorrer </w:t>
      </w:r>
      <w:r w:rsidRPr="00C47483">
        <w:rPr>
          <w:b/>
        </w:rPr>
        <w:t>problemas</w:t>
      </w:r>
      <w:r>
        <w:t xml:space="preserve"> como: </w:t>
      </w:r>
    </w:p>
    <w:p w:rsidR="00C47483" w:rsidP="00C47483">
      <w:pPr>
        <w:pStyle w:val="ListParagraph"/>
        <w:numPr>
          <w:ilvl w:val="0"/>
          <w:numId w:val="5"/>
        </w:numPr>
        <w:spacing w:after="0"/>
      </w:pPr>
      <w:r>
        <w:t>A poluição das águas espanholas que vem refletir-se em Portugal;</w:t>
      </w:r>
    </w:p>
    <w:p w:rsidR="00C47483" w:rsidP="00C47483">
      <w:pPr>
        <w:pStyle w:val="ListParagraph"/>
        <w:numPr>
          <w:ilvl w:val="0"/>
          <w:numId w:val="5"/>
        </w:numPr>
        <w:spacing w:after="0"/>
      </w:pPr>
      <w:r>
        <w:t>A construção de novas barragens ou a realização de transvases no território espanhol;</w:t>
      </w:r>
    </w:p>
    <w:p w:rsidR="00C47483" w:rsidP="00C47483">
      <w:pPr>
        <w:pStyle w:val="ListParagraph"/>
        <w:numPr>
          <w:ilvl w:val="0"/>
          <w:numId w:val="5"/>
        </w:numPr>
        <w:spacing w:after="0"/>
      </w:pPr>
      <w:r>
        <w:t>O agravamento de situações de cheia, quando as barragens espanholas fazem descargas volumosas:</w:t>
      </w:r>
    </w:p>
    <w:p w:rsidR="00C47483" w:rsidP="00C47483">
      <w:pPr>
        <w:pStyle w:val="ListParagraph"/>
        <w:numPr>
          <w:ilvl w:val="0"/>
          <w:numId w:val="5"/>
        </w:numPr>
        <w:spacing w:after="0"/>
      </w:pPr>
      <w:r>
        <w:t>A redução dos caudais em tempo de seca, pois a capacidade de armazenamento das albufeiras espanholas é considerável.</w:t>
      </w:r>
    </w:p>
    <w:p w:rsidR="00C47483" w:rsidP="00C47483">
      <w:pPr>
        <w:spacing w:after="0"/>
        <w:ind w:left="708"/>
      </w:pPr>
    </w:p>
    <w:p w:rsidR="00C47483" w:rsidP="00C47483">
      <w:pPr>
        <w:spacing w:after="0"/>
        <w:ind w:firstLine="708"/>
      </w:pPr>
      <w:r>
        <w:t xml:space="preserve">A </w:t>
      </w:r>
      <w:r w:rsidRPr="00C47483">
        <w:rPr>
          <w:u w:val="single"/>
        </w:rPr>
        <w:t>Convenção Luso-Espanhola</w:t>
      </w:r>
      <w:r>
        <w:t xml:space="preserve"> prevê estas situações, obrigando ambos os países a uma atuação de respeito e cooperação, bem como a definirem caudais mínimos e parâmetros de qualidade das águas. Contudo, ainda não existe regulamentação sobre as normas concretas de atuação. Por exemplo, os caudais mínimos ainda não foram definidos, o que poderá desfavorecer Portugal.</w:t>
      </w:r>
    </w:p>
    <w:p w:rsidR="00C47483" w:rsidRPr="00C47483" w:rsidP="00C47483">
      <w:pPr>
        <w:spacing w:after="0"/>
        <w:ind w:firstLine="708"/>
        <w:rPr>
          <w:b/>
        </w:rPr>
      </w:pPr>
      <w:r w:rsidRPr="00C47483">
        <w:rPr>
          <w:b/>
        </w:rPr>
        <w:t xml:space="preserve">A solidariedade na gestão dos recursos hídricos comuns é uma atitude-chave, tanto no que respeita às negociações entre Portugal e Espanha como no que se refere à partilha da água entre as diferentes regiões de cada país. </w:t>
      </w:r>
    </w:p>
    <w:p w:rsidR="00C47483" w:rsidP="00CC5E4E">
      <w:pPr>
        <w:spacing w:after="0"/>
        <w:ind w:firstLine="708"/>
        <w:rPr>
          <w:rFonts w:ascii="Times New Roman" w:hAnsi="Times New Roman" w:cs="Times New Roman"/>
          <w:b/>
          <w:color w:val="FF0000"/>
          <w:sz w:val="28"/>
        </w:rPr>
      </w:pPr>
    </w:p>
    <w:p w:rsidR="00CC5E4E" w:rsidRPr="00424762" w:rsidP="00CC5E4E">
      <w:pPr>
        <w:spacing w:after="0"/>
        <w:ind w:firstLine="708"/>
        <w:rPr>
          <w:rFonts w:ascii="Times New Roman" w:hAnsi="Times New Roman" w:cs="Times New Roman"/>
          <w:b/>
          <w:color w:val="FF0000"/>
          <w:sz w:val="28"/>
        </w:rPr>
      </w:pPr>
      <w:r w:rsidRPr="00424762">
        <w:rPr>
          <w:rFonts w:ascii="Times New Roman" w:hAnsi="Times New Roman" w:cs="Times New Roman"/>
          <w:b/>
          <w:color w:val="FF0000"/>
          <w:sz w:val="28"/>
        </w:rPr>
        <w:t xml:space="preserve">Racionalizar o consumo de água </w:t>
      </w:r>
    </w:p>
    <w:p w:rsidR="00CC5E4E" w:rsidP="00CC5E4E">
      <w:pPr>
        <w:spacing w:after="0"/>
        <w:ind w:firstLine="708"/>
      </w:pPr>
    </w:p>
    <w:p w:rsidR="00CC5E4E" w:rsidP="00646B82">
      <w:pPr>
        <w:spacing w:after="0"/>
        <w:ind w:firstLine="708"/>
      </w:pPr>
      <w:r>
        <w:t xml:space="preserve">Uma boa gestão dos recursos hídricos terá de passar pela </w:t>
      </w:r>
      <w:r w:rsidRPr="002807D4">
        <w:rPr>
          <w:b/>
        </w:rPr>
        <w:t>racionalização do consumo de água</w:t>
      </w:r>
      <w:r>
        <w:t xml:space="preserve"> através de medidas e ações que visam reduzir ou impedir os desperdícios, o que implica a sensibilização da população e dos agentes económicos (agricultores), a criação de legislação e a utilização de novas tecnologias. </w:t>
      </w:r>
    </w:p>
    <w:p w:rsidR="00CC5E4E" w:rsidP="00646B82">
      <w:pPr>
        <w:spacing w:after="0"/>
        <w:ind w:firstLine="708"/>
      </w:pPr>
      <w:r>
        <w:t>Com esta preocupação, foi elaborado o Programa Nacional Para o Uso Eficiente da Água, que aponta para uma maior racionalização do consumo.</w:t>
      </w:r>
    </w:p>
    <w:p w:rsidR="00CC5E4E" w:rsidP="00646B82">
      <w:pPr>
        <w:spacing w:after="0"/>
        <w:ind w:firstLine="708"/>
      </w:pPr>
      <w:r>
        <w:t>Existem perdas de água em todos os setores devido à utilização de tecnologia deficiente ou desadequada e a comportamentos que provocam gastos desnecessários.</w:t>
      </w:r>
    </w:p>
    <w:p w:rsidR="00CC5E4E" w:rsidP="00646B82">
      <w:pPr>
        <w:spacing w:after="0"/>
        <w:ind w:firstLine="708"/>
      </w:pPr>
      <w:r>
        <w:t xml:space="preserve">Na </w:t>
      </w:r>
      <w:r w:rsidRPr="00424762">
        <w:rPr>
          <w:b/>
          <w:u w:val="double"/>
        </w:rPr>
        <w:t>agricultura</w:t>
      </w:r>
      <w:r>
        <w:t>, a atividade que consome maior quantidade de água, em Portugal, os desperdícios podem ser evitados:</w:t>
      </w:r>
    </w:p>
    <w:p w:rsidR="00CC5E4E" w:rsidP="00CC5E4E">
      <w:pPr>
        <w:pStyle w:val="ListParagraph"/>
        <w:numPr>
          <w:ilvl w:val="0"/>
          <w:numId w:val="1"/>
        </w:numPr>
        <w:spacing w:after="0"/>
      </w:pPr>
      <w:r>
        <w:t xml:space="preserve">No </w:t>
      </w:r>
      <w:r w:rsidRPr="00424762">
        <w:rPr>
          <w:u w:val="single"/>
        </w:rPr>
        <w:t>transporte da água</w:t>
      </w:r>
      <w:r>
        <w:t xml:space="preserve"> em condutas fechadas que reduzem as perdas por evaporação e infiltração;</w:t>
      </w:r>
    </w:p>
    <w:p w:rsidR="00CC5E4E" w:rsidP="00CC5E4E">
      <w:pPr>
        <w:pStyle w:val="ListParagraph"/>
        <w:numPr>
          <w:ilvl w:val="0"/>
          <w:numId w:val="1"/>
        </w:numPr>
        <w:spacing w:after="0"/>
      </w:pPr>
      <w:r>
        <w:t xml:space="preserve">Na </w:t>
      </w:r>
      <w:r w:rsidRPr="00424762">
        <w:rPr>
          <w:u w:val="single"/>
        </w:rPr>
        <w:t>irrigação</w:t>
      </w:r>
      <w:r>
        <w:t xml:space="preserve">, utilizando </w:t>
      </w:r>
      <w:r w:rsidRPr="00424762">
        <w:rPr>
          <w:u w:val="single"/>
        </w:rPr>
        <w:t>técnicas de rega</w:t>
      </w:r>
      <w:r>
        <w:t xml:space="preserve"> que permitem um melhor aproveitamento da água, por exemplo, a rega por aspersão, a rega gota-a-gota e a rega computadorizada;</w:t>
      </w:r>
    </w:p>
    <w:p w:rsidR="00CC5E4E" w:rsidP="00CC5E4E">
      <w:pPr>
        <w:pStyle w:val="ListParagraph"/>
        <w:numPr>
          <w:ilvl w:val="0"/>
          <w:numId w:val="1"/>
        </w:numPr>
        <w:spacing w:after="0"/>
      </w:pPr>
      <w:r>
        <w:t xml:space="preserve">Com a </w:t>
      </w:r>
      <w:r w:rsidRPr="00424762">
        <w:rPr>
          <w:u w:val="single"/>
        </w:rPr>
        <w:t>seleção de culturas</w:t>
      </w:r>
      <w:r>
        <w:t xml:space="preserve"> adaptadas às características climáticas das diferentes regiões;</w:t>
      </w:r>
    </w:p>
    <w:p w:rsidR="00CC5E4E" w:rsidP="00CC5E4E">
      <w:pPr>
        <w:pStyle w:val="ListParagraph"/>
        <w:numPr>
          <w:ilvl w:val="0"/>
          <w:numId w:val="1"/>
        </w:numPr>
        <w:spacing w:after="0"/>
      </w:pPr>
      <w:r>
        <w:t xml:space="preserve">Pela </w:t>
      </w:r>
      <w:r w:rsidRPr="00424762">
        <w:rPr>
          <w:u w:val="single"/>
        </w:rPr>
        <w:t>reutilização de água</w:t>
      </w:r>
      <w:r>
        <w:t xml:space="preserve"> tratada.</w:t>
      </w:r>
    </w:p>
    <w:p w:rsidR="00646B82" w:rsidP="00646B82">
      <w:pPr>
        <w:spacing w:after="0"/>
        <w:ind w:firstLine="708"/>
      </w:pPr>
    </w:p>
    <w:p w:rsidR="00CC5E4E" w:rsidP="00646B82">
      <w:pPr>
        <w:spacing w:after="0"/>
        <w:ind w:firstLine="708"/>
      </w:pPr>
      <w:r>
        <w:t xml:space="preserve">Na </w:t>
      </w:r>
      <w:r w:rsidRPr="00424762">
        <w:rPr>
          <w:b/>
          <w:u w:val="double"/>
        </w:rPr>
        <w:t>indústria</w:t>
      </w:r>
      <w:r>
        <w:t>, o consumo de água pode ser racionalizado através:</w:t>
      </w:r>
    </w:p>
    <w:p w:rsidR="00CC5E4E" w:rsidP="00CC5E4E">
      <w:pPr>
        <w:pStyle w:val="ListParagraph"/>
        <w:numPr>
          <w:ilvl w:val="0"/>
          <w:numId w:val="2"/>
        </w:numPr>
        <w:spacing w:after="0"/>
      </w:pPr>
      <w:r>
        <w:t xml:space="preserve">Da utilização de </w:t>
      </w:r>
      <w:r w:rsidRPr="00424762">
        <w:rPr>
          <w:u w:val="single"/>
        </w:rPr>
        <w:t xml:space="preserve">tecnologias mais eficientes </w:t>
      </w:r>
      <w:r>
        <w:t>que evitem a perda de água durante o processo de produção;</w:t>
      </w:r>
    </w:p>
    <w:p w:rsidR="00CC5E4E" w:rsidP="00CC5E4E">
      <w:pPr>
        <w:pStyle w:val="ListParagraph"/>
        <w:numPr>
          <w:ilvl w:val="0"/>
          <w:numId w:val="2"/>
        </w:numPr>
        <w:spacing w:after="0"/>
      </w:pPr>
      <w:r>
        <w:t xml:space="preserve">Da </w:t>
      </w:r>
      <w:r w:rsidRPr="00424762">
        <w:rPr>
          <w:u w:val="single"/>
        </w:rPr>
        <w:t xml:space="preserve">utilização da mesma água para fins diferentes </w:t>
      </w:r>
      <w:r>
        <w:t>– muitas indústrias já estão a fabricar a sua própria energia elétrica, aproveitando a água que, depois de utilizada nos processos de refrigeração, se encontra a elevadas temperaturas;</w:t>
      </w:r>
    </w:p>
    <w:p w:rsidR="00CC5E4E" w:rsidP="00CC5E4E">
      <w:pPr>
        <w:pStyle w:val="ListParagraph"/>
        <w:numPr>
          <w:ilvl w:val="0"/>
          <w:numId w:val="2"/>
        </w:numPr>
        <w:spacing w:after="0"/>
      </w:pPr>
      <w:r>
        <w:t xml:space="preserve">Da instalação de sistemas de </w:t>
      </w:r>
      <w:r w:rsidRPr="00424762">
        <w:rPr>
          <w:u w:val="single"/>
        </w:rPr>
        <w:t>tratamento das águas residuais</w:t>
      </w:r>
      <w:r>
        <w:t xml:space="preserve"> que permitem a sua </w:t>
      </w:r>
      <w:r w:rsidRPr="00424762">
        <w:rPr>
          <w:u w:val="single"/>
        </w:rPr>
        <w:t>reutilização</w:t>
      </w:r>
      <w:r>
        <w:t>.</w:t>
      </w:r>
    </w:p>
    <w:p w:rsidR="00646B82" w:rsidP="00646B82">
      <w:pPr>
        <w:spacing w:after="0"/>
      </w:pPr>
    </w:p>
    <w:p w:rsidR="00CC5E4E" w:rsidP="00646B82">
      <w:pPr>
        <w:spacing w:after="0"/>
        <w:ind w:firstLine="708"/>
      </w:pPr>
      <w:r>
        <w:t xml:space="preserve">No </w:t>
      </w:r>
      <w:r w:rsidRPr="00424762">
        <w:rPr>
          <w:b/>
          <w:u w:val="double"/>
        </w:rPr>
        <w:t>setor urbano</w:t>
      </w:r>
      <w:r>
        <w:t xml:space="preserve">, o consumo mais significativo é o doméstico, cuja estrutura evidencia a importância das atitudes na racionalização desse consumo. </w:t>
      </w:r>
    </w:p>
    <w:p w:rsidR="00CC5E4E" w:rsidP="00CC5E4E">
      <w:pPr>
        <w:spacing w:after="0"/>
        <w:ind w:left="708" w:firstLine="708"/>
      </w:pPr>
    </w:p>
    <w:p w:rsidR="00CC5E4E" w:rsidP="00646B82">
      <w:pPr>
        <w:spacing w:after="0"/>
        <w:ind w:firstLine="708"/>
      </w:pPr>
      <w:r>
        <w:t xml:space="preserve">Tanto </w:t>
      </w:r>
      <w:r w:rsidRPr="00424762">
        <w:rPr>
          <w:b/>
          <w:u w:val="double"/>
        </w:rPr>
        <w:t>nos usos domésticos como nas empresas de comércio e serviços</w:t>
      </w:r>
      <w:r>
        <w:t>, uma maior eficiência na utilização da água pode ser conseguida através:</w:t>
      </w:r>
    </w:p>
    <w:p w:rsidR="00CC5E4E" w:rsidP="00CC5E4E">
      <w:pPr>
        <w:pStyle w:val="ListParagraph"/>
        <w:numPr>
          <w:ilvl w:val="0"/>
          <w:numId w:val="3"/>
        </w:numPr>
        <w:spacing w:after="0"/>
      </w:pPr>
      <w:r>
        <w:t xml:space="preserve">Da </w:t>
      </w:r>
      <w:r w:rsidRPr="00424762">
        <w:rPr>
          <w:u w:val="single"/>
        </w:rPr>
        <w:t>utilização de máquinas</w:t>
      </w:r>
      <w:r>
        <w:t xml:space="preserve"> de lavar roupa e loiça com possibilidade de </w:t>
      </w:r>
      <w:r w:rsidRPr="00424762">
        <w:rPr>
          <w:u w:val="single"/>
        </w:rPr>
        <w:t>dosear a carga</w:t>
      </w:r>
      <w:r>
        <w:t>;</w:t>
      </w:r>
    </w:p>
    <w:p w:rsidR="00CC5E4E" w:rsidP="00CC5E4E">
      <w:pPr>
        <w:pStyle w:val="ListParagraph"/>
        <w:numPr>
          <w:ilvl w:val="0"/>
          <w:numId w:val="3"/>
        </w:numPr>
        <w:spacing w:after="0"/>
      </w:pPr>
      <w:r>
        <w:t xml:space="preserve">Da criação de </w:t>
      </w:r>
      <w:r w:rsidRPr="00424762">
        <w:rPr>
          <w:u w:val="single"/>
        </w:rPr>
        <w:t>hábitos pessoais que evitem desperdícios</w:t>
      </w:r>
      <w:r>
        <w:t>;</w:t>
      </w:r>
    </w:p>
    <w:p w:rsidR="00CC5E4E" w:rsidP="00CC5E4E">
      <w:pPr>
        <w:pStyle w:val="ListParagraph"/>
        <w:numPr>
          <w:ilvl w:val="0"/>
          <w:numId w:val="3"/>
        </w:numPr>
        <w:spacing w:after="0"/>
      </w:pPr>
      <w:r>
        <w:t xml:space="preserve">Da colocação de </w:t>
      </w:r>
      <w:r w:rsidRPr="00424762">
        <w:rPr>
          <w:u w:val="single"/>
        </w:rPr>
        <w:t>autoclismos</w:t>
      </w:r>
      <w:r>
        <w:t xml:space="preserve"> com </w:t>
      </w:r>
      <w:r w:rsidRPr="00424762">
        <w:rPr>
          <w:u w:val="single"/>
        </w:rPr>
        <w:t>menor volume de descarga</w:t>
      </w:r>
      <w:r>
        <w:t xml:space="preserve">, ou com </w:t>
      </w:r>
      <w:r w:rsidRPr="00424762">
        <w:rPr>
          <w:u w:val="single"/>
        </w:rPr>
        <w:t>descarga</w:t>
      </w:r>
      <w:r>
        <w:t xml:space="preserve"> </w:t>
      </w:r>
      <w:r w:rsidRPr="00424762">
        <w:rPr>
          <w:u w:val="single"/>
        </w:rPr>
        <w:t>de dupla capacidade</w:t>
      </w:r>
      <w:r>
        <w:t>;</w:t>
      </w:r>
    </w:p>
    <w:p w:rsidR="00CC5E4E" w:rsidP="00CC5E4E">
      <w:pPr>
        <w:pStyle w:val="ListParagraph"/>
        <w:numPr>
          <w:ilvl w:val="0"/>
          <w:numId w:val="3"/>
        </w:numPr>
        <w:spacing w:after="0"/>
      </w:pPr>
      <w:r>
        <w:t xml:space="preserve">Do cuidado em </w:t>
      </w:r>
      <w:r w:rsidRPr="00424762">
        <w:rPr>
          <w:u w:val="single"/>
        </w:rPr>
        <w:t>manter os equipamentos em boas condições</w:t>
      </w:r>
      <w:r>
        <w:t xml:space="preserve"> (torneiras, máquinas, etc.);</w:t>
      </w:r>
    </w:p>
    <w:p w:rsidR="00CC5E4E" w:rsidP="00CC5E4E">
      <w:pPr>
        <w:pStyle w:val="ListParagraph"/>
        <w:numPr>
          <w:ilvl w:val="0"/>
          <w:numId w:val="3"/>
        </w:numPr>
        <w:spacing w:after="0"/>
      </w:pPr>
      <w:r>
        <w:t xml:space="preserve">Da </w:t>
      </w:r>
      <w:r w:rsidRPr="00424762">
        <w:rPr>
          <w:u w:val="single"/>
        </w:rPr>
        <w:t>reutilização de água tratada</w:t>
      </w:r>
      <w:r>
        <w:t xml:space="preserve"> nos autoclismos e na rega de jardins.</w:t>
      </w:r>
    </w:p>
    <w:p w:rsidR="00CC5E4E" w:rsidP="00CC5E4E">
      <w:pPr>
        <w:spacing w:after="0"/>
      </w:pPr>
    </w:p>
    <w:p w:rsidR="00CC5E4E" w:rsidP="00CC5E4E">
      <w:pPr>
        <w:spacing w:after="0"/>
        <w:ind w:firstLine="708"/>
      </w:pPr>
      <w:r>
        <w:t xml:space="preserve">O Programa Nacional Para o Uso Eficiente da Água preconiza o </w:t>
      </w:r>
      <w:r w:rsidRPr="00424762">
        <w:rPr>
          <w:u w:val="single"/>
        </w:rPr>
        <w:t>aumento significativo da eficiência do uso da água</w:t>
      </w:r>
      <w:r>
        <w:t xml:space="preserve">, num período de 10 anos. Tendo em conta as perspetivas de evolução dos procedimentos dos utilizadores e da tecnologia dos equipamentos, bem como a redução das perdas de água nos sistemas públicos, será possível aumentar a eficiência da utilização da água em todos os setores. </w:t>
      </w:r>
    </w:p>
    <w:p w:rsidR="00CC5E4E" w:rsidP="00CC5E4E">
      <w:pPr>
        <w:spacing w:after="0"/>
        <w:ind w:firstLine="708"/>
      </w:pPr>
    </w:p>
    <w:p w:rsidR="00CC5E4E" w:rsidRPr="00E521EE" w:rsidP="00CC5E4E">
      <w:pPr>
        <w:rPr>
          <w:rFonts w:ascii="Times New Roman" w:hAnsi="Times New Roman" w:cs="Times New Roman"/>
          <w:b/>
          <w:color w:val="FF0000"/>
          <w:sz w:val="28"/>
        </w:rPr>
      </w:pPr>
      <w:r w:rsidRPr="00E521EE">
        <w:rPr>
          <w:rFonts w:ascii="Times New Roman" w:hAnsi="Times New Roman" w:cs="Times New Roman"/>
          <w:b/>
          <w:color w:val="FF0000"/>
          <w:sz w:val="28"/>
        </w:rPr>
        <w:t>Outras formas de potencializar os recursos hídricos</w:t>
      </w:r>
    </w:p>
    <w:p w:rsidR="00CC5E4E" w:rsidP="00CC5E4E">
      <w:pPr>
        <w:spacing w:after="0"/>
      </w:pPr>
      <w:r>
        <w:tab/>
        <w:t>Os recursos hídricos também servem de suporte a inúmeras atividades de lazer, à navegação turística e a atividades como as culturas biogenéticas e a exploração de inertes.</w:t>
      </w:r>
    </w:p>
    <w:p w:rsidR="00CC5E4E" w:rsidP="00CC5E4E">
      <w:pPr>
        <w:spacing w:after="0"/>
      </w:pPr>
      <w:r>
        <w:tab/>
        <w:t>Existem muitas áreas fluviais propícias à prática de banhos, natação, navegação e pesca. Algumas estão classificadas como praias fluviais, por reunirem condições de segurança e terem equipamentos de apoio e controla da qualidade da água.</w:t>
      </w:r>
    </w:p>
    <w:p w:rsidR="00CC5E4E" w:rsidP="00CC5E4E">
      <w:pPr>
        <w:spacing w:after="0"/>
      </w:pPr>
      <w:r>
        <w:tab/>
        <w:t>As albufeiras de águas públicas são os locais mais procurados, existindo alguma legislação que regulamenta este tipo de atividades.</w:t>
      </w:r>
    </w:p>
    <w:p w:rsidR="00CC5E4E" w:rsidP="00CC5E4E">
      <w:pPr>
        <w:spacing w:after="0"/>
      </w:pPr>
      <w:r>
        <w:tab/>
        <w:t>A navegação de lazer é praticada em muitos rios e albufeiras, mas destaca-se no Douro, onde existem infraestruturas de apoio à navegação que permitem uma oferta de turismo fluvial qualificada.</w:t>
      </w:r>
    </w:p>
    <w:p w:rsidR="00CC5E4E" w:rsidP="00CC5E4E">
      <w:pPr>
        <w:spacing w:after="0"/>
      </w:pPr>
      <w:r>
        <w:tab/>
        <w:t>No Douro, a navegação comercial é também importante, destacando-se este rio pelo facto de ser o único que possui infraestruturas de apoio à navegação de grande dimensão – barragens equipadas com eclusas que permitem a transposição de desníveis por embarcações de grande porte, um canal de navegação e um conjunto considerável de cais.</w:t>
      </w:r>
    </w:p>
    <w:p w:rsidR="00CC5E4E" w:rsidP="00CC5E4E">
      <w:pPr>
        <w:spacing w:after="0"/>
      </w:pPr>
      <w:r>
        <w:tab/>
        <w:t>A utilização dos recursos hídricos para fins tem de ser planeada e gerida, no âmbito da política nacional de gestão dos recursos hídricos.</w:t>
      </w:r>
    </w:p>
    <w:p w:rsidR="00CC5E4E" w:rsidP="00CC5E4E">
      <w:pPr>
        <w:spacing w:after="0"/>
      </w:pPr>
      <w:r>
        <w:tab/>
        <w:t>A utilização do domínio hídrico para a prática de atividades económicas e recreativas associadas às espécies piscícolas é comum nas atividades que vivem próximo de cursos de água, albufeiras e lagoas. São as culturas biogenéticas – reprodução, engorda, crescimento ou melhoramento das espécies aquícolas – sujeitas a licenciamento e ao cumprimento de normas que visam proteger os meios hídricos.</w:t>
      </w:r>
    </w:p>
    <w:p w:rsidR="00CC5E4E" w:rsidP="00CC5E4E">
      <w:pPr>
        <w:spacing w:after="0"/>
      </w:pPr>
      <w:r>
        <w:tab/>
        <w:t>Outra atividade associada ao meio fluvial é a extração de inertes, sujeitas a licenciamento e a regulamentação. Não deve ser efetuada em qualquer local, mas onde é necessário desassorear o leito dos rios e onde a extração de areias não ponha em causa o equilíbrio do leito fluvial. Nos rios Tejo e Douro, esta atividade e tem maior expressão devido à sua dimensão e à quantidade de sedimentos que transportam.</w:t>
      </w:r>
    </w:p>
    <w:p w:rsidR="005D2C75" w:rsidP="00CC5E4E">
      <w:r>
        <w:tab/>
        <w:t xml:space="preserve">Saliente-se, ainda, a importância das zonas ribeirinhas como áreas de atividades e espaços de lazer, o que contribui para ligar efetivamente a população aos rios e, assim, mais facilmente se desenvolver uma cultura ambiental de respeito pelos recursos hídricos. </w:t>
      </w:r>
    </w:p>
    <w:p w:rsidR="00C47483" w:rsidRPr="00C47483" w:rsidP="00C47483">
      <w:pPr>
        <w:spacing w:after="0"/>
        <w:ind w:firstLine="708"/>
        <w:rPr>
          <w:b/>
        </w:rPr>
      </w:pPr>
      <w:r w:rsidRPr="00C47483">
        <w:rPr>
          <w:b/>
        </w:rPr>
        <w:t xml:space="preserve"> </w:t>
      </w:r>
    </w:p>
    <w:sectPr w:rsidSect="005D2C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06FB"/>
    <w:multiLevelType w:val="hybridMultilevel"/>
    <w:tmpl w:val="FC1A0310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B0F0"/>
      </w:rPr>
    </w:lvl>
    <w:lvl w:ilvl="1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>
    <w:nsid w:val="3A0B015B"/>
    <w:multiLevelType w:val="hybridMultilevel"/>
    <w:tmpl w:val="7B141F00"/>
    <w:lvl w:ilvl="0">
      <w:start w:val="1"/>
      <w:numFmt w:val="bullet"/>
      <w:lvlText w:val="E"/>
      <w:lvlJc w:val="left"/>
      <w:pPr>
        <w:ind w:left="1428" w:hanging="360"/>
      </w:pPr>
      <w:rPr>
        <w:rFonts w:ascii="Wingdings 2" w:hAnsi="Wingdings 2" w:hint="default"/>
        <w:b/>
        <w:color w:val="0070C0"/>
      </w:rPr>
    </w:lvl>
    <w:lvl w:ilvl="1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E3C4B24"/>
    <w:multiLevelType w:val="hybridMultilevel"/>
    <w:tmpl w:val="EDC67B04"/>
    <w:lvl w:ilvl="0">
      <w:start w:val="1"/>
      <w:numFmt w:val="bullet"/>
      <w:lvlText w:val="E"/>
      <w:lvlJc w:val="left"/>
      <w:pPr>
        <w:ind w:left="1428" w:hanging="360"/>
      </w:pPr>
      <w:rPr>
        <w:rFonts w:ascii="Wingdings 2" w:hAnsi="Wingdings 2" w:hint="default"/>
        <w:b/>
        <w:color w:val="0070C0"/>
      </w:rPr>
    </w:lvl>
    <w:lvl w:ilvl="1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17018EA"/>
    <w:multiLevelType w:val="hybridMultilevel"/>
    <w:tmpl w:val="08D65DA2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B0F0"/>
      </w:rPr>
    </w:lvl>
    <w:lvl w:ilvl="1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6F4C771B"/>
    <w:multiLevelType w:val="hybridMultilevel"/>
    <w:tmpl w:val="4DD2C36A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B0F0"/>
      </w:rPr>
    </w:lvl>
    <w:lvl w:ilvl="1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E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5E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theme" Target="theme/theme1.xml"></Relationship><Relationship Id="rId5" Type="http://schemas.openxmlformats.org/officeDocument/2006/relationships/numbering" Target="numbering.xml"></Relationship><Relationship Id="rId6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1314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 Freitas</Company>
  <LinksUpToDate>false</LinksUpToDate>
  <CharactersWithSpaces>8397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Freitas</dc:creator>
  <cp:lastModifiedBy>Ana Freitas</cp:lastModifiedBy>
  <cp:revision>3</cp:revision>
  <cp:lastPrinted>2012-05-31T22:33:00Z</cp:lastPrinted>
  <dcterms:created xsi:type="dcterms:W3CDTF">2012-05-31T18:48:00Z</dcterms:created>
  <dcterms:modified xsi:type="dcterms:W3CDTF">2012-05-31T22:41:00Z</dcterms:modified>
</cp:coreProperties>
</file>