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4C37AC" w:rsidRPr="00480672" w:rsidP="00480672">
      <w:pPr>
        <w:pStyle w:val="NoSpacing"/>
        <w:rPr>
          <w:b/>
          <w:color w:val="CC9900"/>
        </w:rPr>
      </w:pPr>
      <w:r w:rsidRPr="00480672">
        <w:rPr>
          <w:b/>
          <w:color w:val="CC9900"/>
        </w:rPr>
        <w:t>A RECONSTRUÇÃO DO PÓS-GUERRA</w:t>
      </w:r>
    </w:p>
    <w:p w:rsidR="00480672" w:rsidP="00480672">
      <w:pPr>
        <w:pStyle w:val="NoSpacing"/>
        <w:rPr>
          <w:color w:val="CC9900"/>
        </w:rPr>
      </w:pPr>
      <w:r w:rsidRPr="00480672">
        <w:rPr>
          <w:color w:val="CC9900"/>
        </w:rPr>
        <w:t>A DEFINIÇÃO DE ÁREAS DE INFLUÊNCIA</w:t>
      </w:r>
    </w:p>
    <w:p w:rsidR="00480672" w:rsidP="00480672">
      <w:pPr>
        <w:pStyle w:val="NoSpacing"/>
      </w:pPr>
      <w:r>
        <w:t xml:space="preserve">Com o fim da Segunda Guerra Mundial a Alemanha e o Japão, que sonhavam com grandes domínios territoriais, saíram da guerra totalmente vencidos e humilhados. </w:t>
      </w:r>
    </w:p>
    <w:p w:rsidR="00480672" w:rsidP="00480672">
      <w:pPr>
        <w:pStyle w:val="NoSpacing"/>
      </w:pPr>
      <w:r>
        <w:t xml:space="preserve">O Reino Unido e a Franca, embora vencedores, estavam empobrecidos e dependentes da ajuda externa. </w:t>
      </w:r>
    </w:p>
    <w:p w:rsidR="00480672" w:rsidP="00480672">
      <w:pPr>
        <w:pStyle w:val="NoSpacing"/>
      </w:pPr>
      <w:r>
        <w:t>Perante a ruína do pós-guerra só duas potências permaneciam fortes:</w:t>
      </w:r>
    </w:p>
    <w:p w:rsidR="00480672" w:rsidP="00480672">
      <w:pPr>
        <w:pStyle w:val="NoSpacing"/>
      </w:pPr>
      <w:r>
        <w:t>- URSS: escudada na força do Exército Vermelho e na sua imensa extensão geográfica;</w:t>
      </w:r>
    </w:p>
    <w:p w:rsidR="00480672" w:rsidP="00480672">
      <w:pPr>
        <w:pStyle w:val="NoSpacing"/>
      </w:pPr>
      <w:r>
        <w:t xml:space="preserve">-EUA: indiscutivelmente a primeira potência mundial. </w:t>
      </w:r>
    </w:p>
    <w:p w:rsidR="00480672" w:rsidP="000261A8">
      <w:pPr>
        <w:pStyle w:val="NoSpacing"/>
        <w:ind w:left="416" w:firstLine="357"/>
      </w:pPr>
    </w:p>
    <w:p w:rsidR="00480672" w:rsidP="000261A8">
      <w:pPr>
        <w:pStyle w:val="NoSpacing"/>
        <w:numPr>
          <w:ilvl w:val="0"/>
          <w:numId w:val="6"/>
        </w:numPr>
        <w:ind w:hanging="357"/>
        <w:rPr>
          <w:color w:val="CC9900"/>
        </w:rPr>
      </w:pPr>
      <w:r w:rsidRPr="00480672">
        <w:rPr>
          <w:color w:val="CC9900"/>
        </w:rPr>
        <w:t>A construção de uma nova ordem internacional: as conferências de paz</w:t>
      </w:r>
    </w:p>
    <w:p w:rsidR="00480672" w:rsidRPr="00480672" w:rsidP="00480672">
      <w:pPr>
        <w:pStyle w:val="NoSpacing"/>
      </w:pPr>
      <w:r w:rsidRPr="00480672">
        <w:t xml:space="preserve">Com o aproximar do fim da Segunda Guerra Mundial os Aliados (vencedores) começam a delinear estratégias para o período de paz que viria. </w:t>
      </w:r>
    </w:p>
    <w:p w:rsidR="00480672" w:rsidP="00480672">
      <w:pPr>
        <w:pStyle w:val="NoSpacing"/>
      </w:pPr>
      <w:r w:rsidRPr="00480672">
        <w:t>Entre 4 e 11 de fevereiro de 1945, Roosevelt (presidente americano), Churchill (primeiro ministro inglês) e Estaline (secretário geral do partido comunista – URSS) reúnem-se nas termas de Ialta (nas margens do Mar Negro), com o objetivo de estabelecerem as regras que devem sustentar a nova ordem internacional do pós-guerra.</w:t>
      </w:r>
    </w:p>
    <w:p w:rsidR="00480672" w:rsidP="00480672">
      <w:pPr>
        <w:pStyle w:val="NoSpacing"/>
      </w:pPr>
    </w:p>
    <w:p w:rsidR="00480672" w:rsidRPr="00FC47C7" w:rsidP="00480672">
      <w:pPr>
        <w:pStyle w:val="NoSpacing"/>
        <w:rPr>
          <w:color w:val="CC9900"/>
        </w:rPr>
      </w:pPr>
      <w:r w:rsidRPr="00FC47C7">
        <w:rPr>
          <w:color w:val="CC9900"/>
        </w:rPr>
        <w:t xml:space="preserve">Conferência de Ialta: </w:t>
      </w:r>
    </w:p>
    <w:p w:rsidR="00480672" w:rsidP="00480672">
      <w:pPr>
        <w:pStyle w:val="NoSpacing"/>
      </w:pPr>
      <w:r>
        <w:t>- Definiram-se as fronteiras da Polónia, ponto de discórdia entre os ocidentais – que não esqueciam ter sido a violação das fronteiras polacas a causa imediata da guerra – e os soviéticos – que não desistiam de ocupar a parte oriental do país;</w:t>
      </w:r>
    </w:p>
    <w:p w:rsidR="00AE70CF" w:rsidP="00480672">
      <w:pPr>
        <w:pStyle w:val="NoSpacing"/>
      </w:pPr>
      <w:r>
        <w:t>- Estabeleceu-se a divisão provisória da Alemanha em quatro áreas de ocupação, geridas pelas três potências conferencistas e pela França, sob a coordenação de um Conselho Aliado;</w:t>
      </w:r>
    </w:p>
    <w:p w:rsidR="003E70D2" w:rsidP="00480672">
      <w:pPr>
        <w:pStyle w:val="NoSpacing"/>
      </w:pPr>
      <w:r>
        <w:t>- Marcação da reunião da conferência preparatória da ONU;</w:t>
      </w:r>
    </w:p>
    <w:p w:rsidR="00FC47C7" w:rsidP="00480672">
      <w:pPr>
        <w:pStyle w:val="NoSpacing"/>
      </w:pPr>
      <w:r>
        <w:t>- Supervisão dos três grandes na futura constituição dos países de Leste, ocupadas pelo eixo;</w:t>
      </w:r>
    </w:p>
    <w:p w:rsidR="00FC47C7" w:rsidP="00480672">
      <w:pPr>
        <w:pStyle w:val="NoSpacing"/>
      </w:pPr>
      <w:r>
        <w:t xml:space="preserve">- Estabelecimento de 20.000 milhões de dólares como base das reparações da guerra devidas pela Alemanha. </w:t>
      </w:r>
    </w:p>
    <w:p w:rsidR="00FC47C7" w:rsidP="00480672">
      <w:pPr>
        <w:pStyle w:val="NoSpacing"/>
      </w:pPr>
    </w:p>
    <w:p w:rsidR="00FC47C7" w:rsidP="00480672">
      <w:pPr>
        <w:pStyle w:val="NoSpacing"/>
      </w:pPr>
      <w:r>
        <w:t xml:space="preserve">Alguns meses mais tarde, em finais de julho de 1945, reuniu-se em Potsdam (perto de Berlim) uma nova conferência com o fim de consolidar os alicerces da paz. </w:t>
      </w:r>
    </w:p>
    <w:p w:rsidR="00FC47C7" w:rsidP="00480672">
      <w:pPr>
        <w:pStyle w:val="NoSpacing"/>
      </w:pPr>
      <w:r>
        <w:t xml:space="preserve">Decorreu num clima mais tenso que a de Ialta. </w:t>
      </w:r>
    </w:p>
    <w:p w:rsidR="00FC47C7" w:rsidP="00480672">
      <w:pPr>
        <w:pStyle w:val="NoSpacing"/>
      </w:pPr>
      <w:r>
        <w:t xml:space="preserve">Vencida a Alemanha, renasciam as desconfianças face ao regime comunista que Estaline representava e às suas pretensões expansionistas na Europa. </w:t>
      </w:r>
    </w:p>
    <w:p w:rsidR="00FC47C7" w:rsidP="00480672">
      <w:pPr>
        <w:pStyle w:val="NoSpacing"/>
      </w:pPr>
      <w:r>
        <w:t xml:space="preserve">Deste modo, a conferência encerrou sem alcançar uma solução definitiva para os países vencidos, limitando-se a ratificar e a pormenorizar os aspetos já acordados em Ialta. </w:t>
      </w:r>
    </w:p>
    <w:p w:rsidR="00FC47C7" w:rsidP="00480672">
      <w:pPr>
        <w:pStyle w:val="NoSpacing"/>
      </w:pPr>
    </w:p>
    <w:p w:rsidR="00FC47C7" w:rsidRPr="00FC47C7" w:rsidP="00480672">
      <w:pPr>
        <w:pStyle w:val="NoSpacing"/>
        <w:rPr>
          <w:color w:val="CC9900"/>
        </w:rPr>
      </w:pPr>
      <w:r w:rsidRPr="00FC47C7">
        <w:rPr>
          <w:color w:val="CC9900"/>
        </w:rPr>
        <w:t>Conferência de Potsdam:</w:t>
      </w:r>
    </w:p>
    <w:p w:rsidR="00FC47C7" w:rsidP="00480672">
      <w:pPr>
        <w:pStyle w:val="NoSpacing"/>
      </w:pPr>
      <w:r>
        <w:t>- Perda provisória da soberania alemã e sua divisão em quatro zonas de influências;</w:t>
      </w:r>
    </w:p>
    <w:p w:rsidR="00FC47C7" w:rsidP="00480672">
      <w:pPr>
        <w:pStyle w:val="NoSpacing"/>
      </w:pPr>
      <w:r>
        <w:t>- Administração conjunta da cidade de Berlim, igualmente dividida em quatro zonas de ocupação;</w:t>
      </w:r>
    </w:p>
    <w:p w:rsidR="00FC47C7" w:rsidP="00FC47C7">
      <w:pPr>
        <w:pStyle w:val="NoSpacing"/>
      </w:pPr>
      <w:r>
        <w:t>- Montante e tipo de indemnizações a pagar pela Alemanha;</w:t>
      </w:r>
    </w:p>
    <w:p w:rsidR="00FC47C7" w:rsidP="00FC47C7">
      <w:pPr>
        <w:pStyle w:val="NoSpacing"/>
      </w:pPr>
      <w:r>
        <w:t>- Julgamento dos criminosos de guerra nazis, através da criação do Tribunal Internacional de Nuremberga;</w:t>
      </w:r>
    </w:p>
    <w:p w:rsidR="00FC47C7" w:rsidP="00FC47C7">
      <w:pPr>
        <w:pStyle w:val="NoSpacing"/>
      </w:pPr>
      <w:r>
        <w:t>- Divisão, ocupação e desnazificação da Áustria, em moldes semelhantes aos estabelecidos para a Alemanha.</w:t>
      </w:r>
    </w:p>
    <w:p w:rsidR="00FC47C7" w:rsidP="00FC47C7">
      <w:pPr>
        <w:pStyle w:val="NoSpacing"/>
      </w:pPr>
    </w:p>
    <w:p w:rsidR="00FC47C7" w:rsidRPr="00FC47C7" w:rsidP="00FC47C7">
      <w:pPr>
        <w:pStyle w:val="NoSpacing"/>
        <w:numPr>
          <w:ilvl w:val="0"/>
          <w:numId w:val="2"/>
        </w:numPr>
        <w:rPr>
          <w:color w:val="CC9900"/>
        </w:rPr>
      </w:pPr>
      <w:r w:rsidRPr="00FC47C7">
        <w:rPr>
          <w:color w:val="CC9900"/>
        </w:rPr>
        <w:t>Um novo quadro político</w:t>
      </w:r>
    </w:p>
    <w:p w:rsidR="00FC47C7" w:rsidP="00FC47C7">
      <w:pPr>
        <w:pStyle w:val="NoSpacing"/>
      </w:pPr>
      <w:r>
        <w:t xml:space="preserve">Nó pós-guerra aumenta a importância da URSS a nível internacional. No último ano do conflito, na sua marcha vitoriosa até Berlim, coubera ao Exército Vermelho a libertação dos países da Europa Ocidental. Na Polónia, Checoslováquia, Hungria, Roménia e Bulgária, os soldados russos substituíram os ocupantes nazis. </w:t>
      </w:r>
    </w:p>
    <w:p w:rsidR="00FC47C7" w:rsidP="00FC47C7">
      <w:pPr>
        <w:pStyle w:val="NoSpacing"/>
      </w:pPr>
      <w:r>
        <w:t xml:space="preserve">Entre 1946 e 1948, estes países encaminharam-se para o socialismo, constituindo as democracias liberais. </w:t>
      </w:r>
    </w:p>
    <w:p w:rsidR="00FC47C7" w:rsidP="00FC47C7">
      <w:pPr>
        <w:pStyle w:val="NoSpacing"/>
      </w:pPr>
      <w:r>
        <w:t>Este rápido processo de sovietização foi, de imediato, contestado pelos ocidentais. Churchill denunciou a criação, por parte da URSS, de uma área de influência impenetrável, isolada do ocidente por uma “cortina de ferro”</w:t>
      </w:r>
      <w:r>
        <w:rPr>
          <w:rStyle w:val="FootnoteReference"/>
        </w:rPr>
        <w:footnoteReference w:id="2"/>
      </w:r>
      <w:r>
        <w:t xml:space="preserve">. </w:t>
      </w:r>
    </w:p>
    <w:p w:rsidR="00FC47C7" w:rsidRPr="00FC47C7" w:rsidP="00FC47C7">
      <w:pPr>
        <w:pStyle w:val="NoSpacing"/>
        <w:rPr>
          <w:color w:val="CC9900"/>
        </w:rPr>
      </w:pPr>
    </w:p>
    <w:p w:rsidR="00FC47C7" w:rsidRPr="00FC47C7" w:rsidP="00FC47C7">
      <w:pPr>
        <w:pStyle w:val="NoSpacing"/>
        <w:rPr>
          <w:color w:val="CC9900"/>
        </w:rPr>
      </w:pPr>
      <w:r w:rsidRPr="00FC47C7">
        <w:rPr>
          <w:color w:val="CC9900"/>
        </w:rPr>
        <w:t>A ORGANIZAÇÃO DAS NAÇÕES UNIDAS</w:t>
      </w:r>
    </w:p>
    <w:p w:rsidR="00FC47C7" w:rsidP="00FC47C7">
      <w:pPr>
        <w:pStyle w:val="NoSpacing"/>
      </w:pPr>
      <w:r w:rsidRPr="00FC47C7">
        <w:t xml:space="preserve">Após o fracasso da SDN a ideia de uma organização internacional que assegurasse a paz e a segurança permaneceu. </w:t>
      </w:r>
    </w:p>
    <w:p w:rsidR="00FC47C7" w:rsidP="00FC47C7">
      <w:pPr>
        <w:pStyle w:val="NoSpacing"/>
      </w:pPr>
      <w:r>
        <w:t xml:space="preserve">Deste modo, Franklin Roosevelt, nas cimeiras da “Grande Aliança” criou uma organização mais consistente – a ONU. </w:t>
      </w:r>
    </w:p>
    <w:p w:rsidR="00FC47C7" w:rsidP="00FC47C7">
      <w:pPr>
        <w:pStyle w:val="NoSpacing"/>
      </w:pPr>
      <w:r>
        <w:t xml:space="preserve">Este projeto ficou acordado em 1943 na Conferência de Teerão e foi ratificado em Ialta onde se decidiu a convocação de uma conferência para redigir e aprovar a carta fundadora das nações unidas. </w:t>
      </w:r>
    </w:p>
    <w:p w:rsidR="00FC47C7" w:rsidP="00FC47C7">
      <w:pPr>
        <w:pStyle w:val="NoSpacing"/>
      </w:pPr>
      <w:r>
        <w:t>Esta, iniciou-se no dia 25 de Abril de 1945 em São Francisco, tendo como princípios fundamentais:</w:t>
      </w:r>
    </w:p>
    <w:p w:rsidR="00FC47C7" w:rsidP="00FC47C7">
      <w:pPr>
        <w:pStyle w:val="NoSpacing"/>
      </w:pPr>
      <w:r>
        <w:t>- Manter a paz e reprimir os atos de agressão, utilizando meios pacíficos, de acordo com os princípios da justiça e o direito internacional;</w:t>
      </w:r>
    </w:p>
    <w:p w:rsidR="00FC47C7" w:rsidP="00FC47C7">
      <w:pPr>
        <w:pStyle w:val="NoSpacing"/>
      </w:pPr>
      <w:r>
        <w:t>- Desenvolver relações de amizade entre as países do mundo, baseadas na igualdade entre os povos e no seu direito à autodeterminação;</w:t>
      </w:r>
    </w:p>
    <w:p w:rsidR="00FC47C7" w:rsidP="00FC47C7">
      <w:pPr>
        <w:pStyle w:val="NoSpacing"/>
      </w:pPr>
      <w:r>
        <w:t>- Desenvolver a cooperação internacional no âmbito económico, social e cultural e promover a defesa dos Direitos Humanos;</w:t>
      </w:r>
    </w:p>
    <w:p w:rsidR="00FC47C7" w:rsidP="00FC47C7">
      <w:pPr>
        <w:pStyle w:val="NoSpacing"/>
      </w:pPr>
      <w:r>
        <w:t>- Funcionar como centro harmonizador das ações tomadas para alcançar estes propósitos.</w:t>
      </w:r>
    </w:p>
    <w:p w:rsidR="00FC47C7" w:rsidP="00FC47C7">
      <w:pPr>
        <w:pStyle w:val="NoSpacing"/>
      </w:pPr>
    </w:p>
    <w:p w:rsidR="00FC47C7" w:rsidRPr="00FC47C7" w:rsidP="00FC47C7">
      <w:pPr>
        <w:pStyle w:val="NoSpacing"/>
        <w:numPr>
          <w:ilvl w:val="0"/>
          <w:numId w:val="4"/>
        </w:numPr>
        <w:rPr>
          <w:color w:val="CC9900"/>
        </w:rPr>
      </w:pPr>
      <w:r w:rsidRPr="00FC47C7">
        <w:rPr>
          <w:color w:val="CC9900"/>
        </w:rPr>
        <w:t>A defesa dos Direitos do Homem</w:t>
      </w:r>
    </w:p>
    <w:p w:rsidR="00FC47C7" w:rsidP="00FC47C7">
      <w:pPr>
        <w:pStyle w:val="NoSpacing"/>
      </w:pPr>
      <w:r>
        <w:t xml:space="preserve">Após as atrocidades cometidas durante a Segunda Guerra Mundial com o holocausto e disposta a impedi-las no futuro, a ONU tomou uma feição profundamente humanista, através do reforço, em 1948, da </w:t>
      </w:r>
      <w:r w:rsidRPr="00FC47C7">
        <w:rPr>
          <w:i/>
        </w:rPr>
        <w:t>Declaração Universal dos Direitos do Homem</w:t>
      </w:r>
      <w:r>
        <w:t xml:space="preserve"> substituindo a Declaração dos </w:t>
      </w:r>
      <w:r w:rsidRPr="00FC47C7">
        <w:rPr>
          <w:i/>
        </w:rPr>
        <w:t>Direitos do Homem e do Cidadão</w:t>
      </w:r>
      <w:r>
        <w:t xml:space="preserve">, que passou a integrar os documentos fundamentais das Nações Unidas. </w:t>
      </w:r>
    </w:p>
    <w:p w:rsidR="00FC47C7" w:rsidP="00FC47C7">
      <w:pPr>
        <w:pStyle w:val="NoSpacing"/>
      </w:pPr>
      <w:r>
        <w:t>Este documento definia os direitos e as liberdades fundamentais (direito à vida, liberdade de reunião, expressão, etc.) e também tivera sido atribuído um papel importante às questões económico-sociais (direito ao trabalho, ao descanso, ao ensino…).</w:t>
      </w:r>
    </w:p>
    <w:p w:rsidR="00FC47C7" w:rsidP="00FC47C7">
      <w:pPr>
        <w:pStyle w:val="NoSpacing"/>
      </w:pPr>
    </w:p>
    <w:p w:rsidR="00FC47C7" w:rsidRPr="00FC47C7" w:rsidP="00FC47C7">
      <w:pPr>
        <w:pStyle w:val="NoSpacing"/>
        <w:numPr>
          <w:ilvl w:val="0"/>
          <w:numId w:val="4"/>
        </w:numPr>
        <w:rPr>
          <w:color w:val="CC9900"/>
        </w:rPr>
      </w:pPr>
      <w:r w:rsidRPr="00FC47C7">
        <w:rPr>
          <w:color w:val="CC9900"/>
        </w:rPr>
        <w:t xml:space="preserve">Órgãos de funcionamento </w:t>
      </w:r>
    </w:p>
    <w:p w:rsidR="00FC47C7" w:rsidP="00FC47C7">
      <w:pPr>
        <w:pStyle w:val="NoSpacing"/>
      </w:pPr>
      <w:r>
        <w:t xml:space="preserve">A Carta das Nações Unidades definiu também os órgãos básicos do funcionamento da instituição: 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Assembleia Geral</w:t>
      </w:r>
      <w:r>
        <w:t>: formada pela generalidade dos Estados-membros, funciona como um parlamento;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Conselho de Segurança</w:t>
      </w:r>
      <w:r>
        <w:t>: formado por 15 membros (cinco dos quais permanentes – EUA, URSS, Reino Unido, França e República Popular da China) e 10 flutuantes eleitos pela Assembleia-Geral por dois anos. É o órgão diretamente responsável pela manutenção da paz e da segurança: atua como mediador, decreta sanções económicas e em último caso decide a intervenção das forças militares;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Secretariado-Geral</w:t>
      </w:r>
      <w:r>
        <w:t>: representa a ONU e, com ela, praticamente todos os povos do mundo;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Conselho Económico-Social</w:t>
      </w:r>
      <w:r>
        <w:t xml:space="preserve">: encarregado de promover a cooperação a nível económico, social e cultural entre as nações. Atua através de instituições especializadas e outros órgãos específicos que se encontram sob a sua tutela: BIRD, FAO, OIT, OMS. É um dos órgãos mais ativos e importantes da ONU. 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Tribunal Internacional da Justiça</w:t>
      </w:r>
      <w:r>
        <w:t>: é o órgão máximo da justiça internacional;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Conselho de Tutela</w:t>
      </w:r>
      <w:r>
        <w:t>: órgão criado com o fim principal de administrar os territórios que outrora se encontravam sob a alçada da SDN;</w:t>
      </w:r>
    </w:p>
    <w:p w:rsidR="00FC47C7" w:rsidP="00FC47C7">
      <w:pPr>
        <w:pStyle w:val="NoSpacing"/>
      </w:pPr>
    </w:p>
    <w:p w:rsidR="00FC47C7" w:rsidP="00FC47C7">
      <w:pPr>
        <w:pStyle w:val="NoSpacing"/>
      </w:pPr>
      <w:r>
        <w:t xml:space="preserve">A ONU tem sede em Nova Iorque desde 1952, contando com 192 países. </w:t>
      </w:r>
    </w:p>
    <w:p w:rsidR="00FC47C7" w:rsidP="00FC47C7">
      <w:pPr>
        <w:pStyle w:val="NoSpacing"/>
      </w:pPr>
    </w:p>
    <w:p w:rsidR="00FC47C7" w:rsidP="00FC47C7">
      <w:pPr>
        <w:pStyle w:val="NoSpacing"/>
      </w:pPr>
    </w:p>
    <w:p w:rsidR="00FC47C7" w:rsidRPr="00FC47C7" w:rsidP="00FC47C7">
      <w:pPr>
        <w:pStyle w:val="NoSpacing"/>
        <w:rPr>
          <w:color w:val="CC9900"/>
        </w:rPr>
      </w:pPr>
      <w:r w:rsidRPr="00FC47C7">
        <w:rPr>
          <w:color w:val="CC9900"/>
        </w:rPr>
        <w:t>AS NOVAS REGRAS DA ECONOMIA INTERNACIONAL</w:t>
      </w:r>
    </w:p>
    <w:p w:rsidR="00FC47C7" w:rsidRPr="00FC47C7" w:rsidP="00FC47C7">
      <w:pPr>
        <w:pStyle w:val="NoSpacing"/>
        <w:numPr>
          <w:ilvl w:val="0"/>
          <w:numId w:val="4"/>
        </w:numPr>
        <w:rPr>
          <w:color w:val="CC9900"/>
        </w:rPr>
      </w:pPr>
      <w:r w:rsidRPr="00FC47C7">
        <w:rPr>
          <w:color w:val="CC9900"/>
        </w:rPr>
        <w:t>O ideal de cooperação económica</w:t>
      </w:r>
    </w:p>
    <w:p w:rsidR="00FC47C7" w:rsidP="00FC47C7">
      <w:pPr>
        <w:pStyle w:val="NoSpacing"/>
      </w:pPr>
      <w:r>
        <w:t xml:space="preserve">O planeamento do pós-guerra não se processou somente a nível político. Em julho de 1944, um grupo de economistas (dos quais um deles era Keynes, ligado ao intervencionismo) reuniu-se em Bretton Woods (EUA) a fim de prever e estruturar a situação monetária e financeira do período de paz. </w:t>
      </w:r>
    </w:p>
    <w:p w:rsidR="00FC47C7" w:rsidP="00FC47C7">
      <w:pPr>
        <w:pStyle w:val="NoSpacing"/>
      </w:pPr>
      <w:r>
        <w:t xml:space="preserve">Com o fim da guerra tornava-se essencial regularizar o comércio mundial, os pagamentos e a circulação de capitais, evitando o círculo vicioso de desvalorizações monetárias e a instabilidade das taxas de câmbio dos anos 20 e 30. </w:t>
      </w:r>
    </w:p>
    <w:p w:rsidR="00FC47C7" w:rsidP="00FC47C7">
      <w:pPr>
        <w:pStyle w:val="NoSpacing"/>
      </w:pPr>
      <w:r>
        <w:t xml:space="preserve">Assim, para garantir a estabilidade das moedas criou-se um novo sistema monetário internacional: o dólar era a moeda-padrão e as restantes moedas tiveram sido convertidas em ouro ou dólar. </w:t>
      </w:r>
    </w:p>
    <w:p w:rsidR="00FC47C7" w:rsidP="00FC47C7">
      <w:pPr>
        <w:pStyle w:val="NoSpacing"/>
      </w:pPr>
      <w:r>
        <w:t xml:space="preserve">Na mesma conferência e com o objetivo de operacionalizar o sistema criaram-se dois organismos importantes: 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FMI (Fundo Monetário Internacional)</w:t>
      </w:r>
      <w:r>
        <w:t xml:space="preserve"> ao qual recorreriam os bancos centrais dos países com dificuldades em manter a paridade fixa da moeda ou equilibrar a sua balança de pagamentos;</w:t>
      </w:r>
    </w:p>
    <w:p w:rsidR="00FC47C7" w:rsidP="00FC47C7">
      <w:pPr>
        <w:pStyle w:val="NoSpacing"/>
      </w:pPr>
      <w:r>
        <w:t xml:space="preserve">- </w:t>
      </w:r>
      <w:r w:rsidRPr="00FC47C7">
        <w:rPr>
          <w:u w:val="single"/>
        </w:rPr>
        <w:t>Banco Internacional para a Reconstrução e o Desenvolvimento (BIRD)</w:t>
      </w:r>
      <w:r>
        <w:t xml:space="preserve"> também conhecido como </w:t>
      </w:r>
      <w:r w:rsidRPr="00FC47C7">
        <w:rPr>
          <w:u w:val="single"/>
        </w:rPr>
        <w:t>Banco Mundial</w:t>
      </w:r>
      <w:r>
        <w:t>, destinado a financiar projetos de fomento económico a longo prazo.</w:t>
      </w:r>
    </w:p>
    <w:p w:rsidR="00FC47C7" w:rsidP="00FC47C7">
      <w:pPr>
        <w:pStyle w:val="NoSpacing"/>
      </w:pPr>
    </w:p>
    <w:p w:rsidR="00FC47C7" w:rsidP="00FC47C7">
      <w:pPr>
        <w:pStyle w:val="NoSpacing"/>
      </w:pPr>
      <w:r>
        <w:t xml:space="preserve">Em 1947, na Conferência Internacional de Genebra, assina-se um </w:t>
      </w:r>
      <w:r w:rsidRPr="00FC47C7">
        <w:rPr>
          <w:u w:val="single"/>
        </w:rPr>
        <w:t>Acordo Geral de Tarifas e Comércio (GATT)</w:t>
      </w:r>
      <w:r>
        <w:t xml:space="preserve"> onde 23 países se comprometeram a negociar a redução dos direitos alfandegários e outras restrições comerciais. Isto permitia melhorar as condições de vida, garantia o emprego, permitia o crescimento da produção e do consumo e a expansão das trocas de mercadorias.</w:t>
      </w:r>
    </w:p>
    <w:p w:rsidR="00FC47C7" w:rsidP="00FC47C7">
      <w:pPr>
        <w:pStyle w:val="NoSpacing"/>
      </w:pPr>
      <w:r>
        <w:t xml:space="preserve">Esta ideia de um espaço económico alargado deu origem, nesse mesmo ano, à </w:t>
      </w:r>
      <w:r w:rsidRPr="00FC47C7">
        <w:rPr>
          <w:u w:val="single"/>
        </w:rPr>
        <w:t>BENELUX</w:t>
      </w:r>
      <w:r>
        <w:t>: aliança entre a Bélgica, Holanda e Luxemburgo, prevendo a abolição das tarifas alfandegárias entre os três países.</w:t>
      </w:r>
    </w:p>
    <w:p w:rsidR="00FC47C7" w:rsidP="00FC47C7">
      <w:pPr>
        <w:pStyle w:val="NoSpacing"/>
      </w:pPr>
    </w:p>
    <w:p w:rsidR="00FC47C7" w:rsidP="00FC47C7">
      <w:pPr>
        <w:pStyle w:val="NoSpacing"/>
        <w:rPr>
          <w:color w:val="CC9900"/>
        </w:rPr>
      </w:pPr>
      <w:r w:rsidRPr="00FC47C7">
        <w:rPr>
          <w:color w:val="CC9900"/>
        </w:rPr>
        <w:t>A PRIMEIRA VAGA DE DESCOLONIZAÇÃO</w:t>
      </w:r>
    </w:p>
    <w:p w:rsidR="00FC47C7" w:rsidP="00FC47C7">
      <w:pPr>
        <w:pStyle w:val="NoSpacing"/>
        <w:numPr>
          <w:ilvl w:val="0"/>
          <w:numId w:val="4"/>
        </w:numPr>
        <w:rPr>
          <w:color w:val="CC9900"/>
        </w:rPr>
      </w:pPr>
      <w:r>
        <w:rPr>
          <w:color w:val="CC9900"/>
        </w:rPr>
        <w:t xml:space="preserve">Uma conjuntura favorável à descolonização </w:t>
      </w:r>
    </w:p>
    <w:p w:rsidR="00FC47C7" w:rsidP="00FC47C7">
      <w:pPr>
        <w:pStyle w:val="NoSpacing"/>
      </w:pPr>
      <w:r>
        <w:t xml:space="preserve">A primeira vaga de descolonização deu-se logo a seguir à Segunda Guerra Mundial, iniciando-se no continente asiático e no Médio Oriente e percorrendo ao Norte de África. </w:t>
      </w:r>
    </w:p>
    <w:p w:rsidR="00FC47C7" w:rsidP="00FC47C7">
      <w:pPr>
        <w:pStyle w:val="NoSpacing"/>
      </w:pPr>
      <w:r>
        <w:t xml:space="preserve">A guerra tivera exigido pesados sacrifícios às colónias, sendo que esta também tivera posto em evidência as fragilidades da Europa. Até aí, vistos como invencíveis, os estados europeus mostraram-se incapazes de defender os seus territórios da invasão estrangeira, tal como a Ásia. </w:t>
      </w:r>
    </w:p>
    <w:p w:rsidR="00FC47C7" w:rsidP="00FC47C7">
      <w:pPr>
        <w:pStyle w:val="NoSpacing"/>
      </w:pPr>
      <w:r>
        <w:t xml:space="preserve">Aos efeitos demolidores da guerra juntaram-se as pressões exercidas pelas duas superpotências, que apoiam os esforços de libertação dos povos colonizados. </w:t>
      </w:r>
    </w:p>
    <w:p w:rsidR="00FC47C7" w:rsidP="00FC47C7">
      <w:pPr>
        <w:pStyle w:val="NoSpacing"/>
      </w:pPr>
      <w:r>
        <w:t>Os EUA em lembrança do seu próprio passado e em defesa dos seus interesses económicos sempre se mostraram adversos à manutenção do sistema colonial.</w:t>
      </w:r>
    </w:p>
    <w:p w:rsidR="00FC47C7" w:rsidP="00FC47C7">
      <w:pPr>
        <w:pStyle w:val="NoSpacing"/>
      </w:pPr>
      <w:r>
        <w:t>A URSS atua em nome da ideologia marxista – que prevê a revolta dos oprimidos pelos interesses económicos capitalistas e não desperdiça a possibilidade de estender, nos países recém-formados, o modelo soviético.</w:t>
      </w:r>
    </w:p>
    <w:p w:rsidR="00FC47C7" w:rsidP="00FC47C7">
      <w:pPr>
        <w:pStyle w:val="NoSpacing"/>
      </w:pPr>
      <w:r>
        <w:t xml:space="preserve">A ONU, por sua vez, defendia a descolonização, pois segundo a Carta os países tinham direito à autodeterminação. </w:t>
      </w:r>
    </w:p>
    <w:p w:rsidR="00FC47C7" w:rsidP="00FC47C7">
      <w:pPr>
        <w:pStyle w:val="NoSpacing"/>
      </w:pPr>
    </w:p>
    <w:p w:rsidR="00FC47C7" w:rsidRPr="00FC47C7" w:rsidP="00FC47C7">
      <w:pPr>
        <w:pStyle w:val="NoSpacing"/>
        <w:numPr>
          <w:ilvl w:val="0"/>
          <w:numId w:val="4"/>
        </w:numPr>
        <w:rPr>
          <w:color w:val="CC9900"/>
        </w:rPr>
      </w:pPr>
      <w:r w:rsidRPr="00FC47C7">
        <w:rPr>
          <w:color w:val="CC9900"/>
        </w:rPr>
        <w:t>A descolonização asiática</w:t>
      </w:r>
    </w:p>
    <w:p w:rsidR="00FC47C7" w:rsidP="00FC47C7">
      <w:pPr>
        <w:pStyle w:val="NoSpacing"/>
      </w:pPr>
      <w:r>
        <w:t>No Médio Oriente tornam-se independentes a Síria, Líbano, Jordânia e Palestina onde em 1948 nasce Israel.</w:t>
      </w:r>
    </w:p>
    <w:p w:rsidR="00FC47C7" w:rsidP="00FC47C7">
      <w:pPr>
        <w:pStyle w:val="NoSpacing"/>
      </w:pPr>
      <w:r>
        <w:t>Na Índia, no decorrer da guerra, o partido do congresso liderado por Gandhi obtivera através de Churchill a promessa da retirada inglesa. No entanto, devido ao antagonismo entre as comunidades hindu e muçulmana os britânicos atrasaram o processo que só em 1947 se concretiza ficando a Índia dividida em dois estados: União indiana (hindu) e o Paquistão (muçulmano).</w:t>
      </w:r>
    </w:p>
    <w:p w:rsidR="00FC47C7" w:rsidP="00FC47C7">
      <w:pPr>
        <w:pStyle w:val="NoSpacing"/>
      </w:pPr>
      <w:r>
        <w:t xml:space="preserve">Ceilão, Birmânia e Malásia também reclamaram a sua independência. Com exceção da Malásia, cuja posição estratégica dificultou a cedência britânica os ingleses aceitaram a descolonização. </w:t>
      </w:r>
    </w:p>
    <w:p w:rsidR="00FC47C7" w:rsidP="00FC47C7">
      <w:pPr>
        <w:pStyle w:val="NoSpacing"/>
      </w:pPr>
      <w:r>
        <w:t xml:space="preserve">Também Holandeses e Franceses são obrigados a abrir mão das suas colónias. </w:t>
      </w:r>
    </w:p>
    <w:p w:rsidR="00FC47C7" w:rsidP="00FC47C7">
      <w:pPr>
        <w:pStyle w:val="NoSpacing"/>
      </w:pPr>
      <w:r>
        <w:t xml:space="preserve">Em 1945, o dirigente nacionalista Sukarno proclama a República da Indonésia. Pouco dispostos a abdicar do território, os Holandeses recorrem à força das armas, mas pressionados pela ONU acabam por reconhecer, em 1949, a independência do novo país. </w:t>
      </w:r>
    </w:p>
    <w:p w:rsidR="00FC47C7" w:rsidP="00FC47C7">
      <w:pPr>
        <w:pStyle w:val="NoSpacing"/>
      </w:pPr>
      <w:r>
        <w:t>O processo de descolonização da Indonésia mostrou-se mais violento e sangrento pois a ocupação japonesa fomentara fortes sentimentos antifranceses. A guerra da Indochina acaba por adquirir um cariz ideológico visto como uma tentativa de extensão do comunismo na Ásia, já que o líder Ho Chi Minh era comunista. Só em 1945, os franceses vencidos se retiram reconhecendo o nascimento de novas nações: Vietname, Laos e Cambodja.</w:t>
      </w:r>
    </w:p>
    <w:p w:rsidR="003A2A80" w:rsidP="00FC47C7">
      <w:pPr>
        <w:pStyle w:val="NoSpacing"/>
      </w:pPr>
    </w:p>
    <w:p w:rsidR="003A2A80" w:rsidP="00FC47C7">
      <w:pPr>
        <w:pStyle w:val="NoSpacing"/>
        <w:rPr>
          <w:b/>
          <w:color w:val="CC9900"/>
        </w:rPr>
      </w:pPr>
      <w:r w:rsidRPr="003A2A80">
        <w:rPr>
          <w:b/>
          <w:color w:val="CC9900"/>
        </w:rPr>
        <w:t>O TEMPO DA GUERRA FRIA – A CONSOLIDAÇÃO DE UM MUNDO BIPOLAR</w:t>
      </w:r>
    </w:p>
    <w:p w:rsidR="003A2A80" w:rsidP="00FC47C7">
      <w:pPr>
        <w:pStyle w:val="NoSpacing"/>
        <w:rPr>
          <w:color w:val="CC9900"/>
        </w:rPr>
      </w:pPr>
      <w:r w:rsidRPr="003A2A80">
        <w:rPr>
          <w:color w:val="CC9900"/>
        </w:rPr>
        <w:t>UM MUNDO BIPOLAR</w:t>
      </w:r>
    </w:p>
    <w:p w:rsidR="003A2A80" w:rsidP="003A2A80">
      <w:pPr>
        <w:pStyle w:val="NoSpacing"/>
        <w:numPr>
          <w:ilvl w:val="0"/>
          <w:numId w:val="4"/>
        </w:numPr>
        <w:rPr>
          <w:color w:val="CC9900"/>
        </w:rPr>
      </w:pPr>
      <w:r>
        <w:rPr>
          <w:color w:val="CC9900"/>
        </w:rPr>
        <w:t>A rutura</w:t>
      </w:r>
    </w:p>
    <w:p w:rsidR="00F453F3" w:rsidP="00F453F3">
      <w:pPr>
        <w:pStyle w:val="NoSpacing"/>
      </w:pPr>
      <w:r>
        <w:t xml:space="preserve">Quando em 1946, Churchill afirmou que uma “cortina de ferro” dividia a Europa, o processo de sovietização dos países de Leste era já irreversível. Sob a tutela diplomática e militar da URSS, os partidos comunistas ganhavam forças e, progressivamente, tomavam o poder. Para coordenar a sua atuação, tornando-se mais eficiente, criou-se, em 1947, o Kominform (Secretariado de Informação Comunista) que se tornou um importante organismo de controlo por parte da URSS. </w:t>
      </w:r>
    </w:p>
    <w:p w:rsidR="00F453F3" w:rsidP="00F453F3">
      <w:pPr>
        <w:pStyle w:val="NoSpacing"/>
      </w:pPr>
      <w:r>
        <w:t>Um ano passado sobre o alerta de Churchill, os EUA assumem a liderança da oposição aos avanços do socialismo</w:t>
      </w:r>
      <w:r>
        <w:rPr>
          <w:rStyle w:val="FootnoteReference"/>
        </w:rPr>
        <w:footnoteReference w:id="3"/>
      </w:r>
      <w:r>
        <w:t>.</w:t>
      </w:r>
    </w:p>
    <w:p w:rsidR="00F453F3" w:rsidP="00F453F3">
      <w:pPr>
        <w:pStyle w:val="NoSpacing"/>
      </w:pPr>
      <w:r>
        <w:t xml:space="preserve">É neste contexto que o presidente Truman alarga a divisão europeia ao mundo que está dividido em dois sistemas antagónicos: um baseado na liberdade e outro na opressão. Aos americanos cabe a liderança do undo livre na contenção do comunismo. </w:t>
      </w:r>
    </w:p>
    <w:p w:rsidR="00F453F3" w:rsidP="00F453F3">
      <w:pPr>
        <w:pStyle w:val="NoSpacing"/>
      </w:pPr>
      <w:r>
        <w:t>À doutrina Truman opõe-se a doutrina Jdanov, que segundo o dirigente soviético afirma que o mundo se divide, de facto, em dois sistemas contrários: um, imperialista e antidemocrático – liderado pelos EUA – e outro em que reina a democracia e a fraternidade entre os povos, correspondente ao mundo socialista – liderado pela URSS.</w:t>
      </w:r>
    </w:p>
    <w:p w:rsidR="00185301" w:rsidP="00F453F3">
      <w:pPr>
        <w:pStyle w:val="NoSpacing"/>
      </w:pPr>
      <w:r>
        <w:t xml:space="preserve">Para além de formalizar a divisão do mundo em duas forças opostas, a doutrina Truman deixava também clara a necessidade de ajudar a Europa a reerguer-se economicamente. </w:t>
      </w:r>
    </w:p>
    <w:p w:rsidR="00185301" w:rsidP="00F453F3">
      <w:pPr>
        <w:pStyle w:val="NoSpacing"/>
      </w:pPr>
      <w:r>
        <w:t xml:space="preserve">As perdas humanas e materiais tinham sido pesadíssimas e os EUA tiveram ajudado a Europa. </w:t>
      </w:r>
    </w:p>
    <w:p w:rsidR="00185301" w:rsidP="00F453F3">
      <w:pPr>
        <w:pStyle w:val="NoSpacing"/>
      </w:pPr>
      <w:r>
        <w:t>É neste contexto que o secretário de Estado americano Marshall anuncia, em junho de 1947, um plano de ajuda económica à Europa.</w:t>
      </w:r>
    </w:p>
    <w:p w:rsidR="00AF0EA3" w:rsidP="00F453F3">
      <w:pPr>
        <w:pStyle w:val="NoSpacing"/>
      </w:pPr>
      <w:r>
        <w:t xml:space="preserve">Este plano foi oferecido a toda a Europa, incluindo os países que se encontravam já sob influência soviética, mas esta ténue tentativa de aproximação não teve êxito. Moscovo classifica a ajuda americana de “manobra imperialista” e impede os países sob sua influência de a aceitaram. </w:t>
      </w:r>
    </w:p>
    <w:p w:rsidR="00AF0EA3" w:rsidP="00F453F3">
      <w:pPr>
        <w:pStyle w:val="NoSpacing"/>
      </w:pPr>
      <w:r>
        <w:t xml:space="preserve">Em janeiro de 1959, Moscovo lança o plano Molotov, que estabelece as estruturas de cooperação económica da Europa Oriental. </w:t>
      </w:r>
    </w:p>
    <w:p w:rsidR="00CB39E8" w:rsidP="00F453F3">
      <w:pPr>
        <w:pStyle w:val="NoSpacing"/>
      </w:pPr>
      <w:r>
        <w:t xml:space="preserve">Foi no âmbito deste plano que se criou o COMECON (Conselho de Assistência Económica Mútua), instituição destinada a promover o desenvolvimento integrado dos países comunistas, sob proteção da União Soviética. </w:t>
      </w:r>
    </w:p>
    <w:p w:rsidR="00AF0EA3" w:rsidP="00F453F3">
      <w:pPr>
        <w:pStyle w:val="NoSpacing"/>
      </w:pPr>
      <w:r>
        <w:t xml:space="preserve">Os países abrangidos pelo Plano Marshall e os países do COMECON funcionaram como áreas transnacionais, coesas e distintas uma da outra. </w:t>
      </w:r>
    </w:p>
    <w:p w:rsidR="00AF0EA3" w:rsidP="00F453F3">
      <w:pPr>
        <w:pStyle w:val="NoSpacing"/>
      </w:pPr>
      <w:r>
        <w:t>A divisão do mundo em dois blocos antagónicos consolidou-se, tal como a liderança das duas superpotências.</w:t>
      </w:r>
    </w:p>
    <w:p w:rsidR="000F24D8" w:rsidP="00F453F3">
      <w:pPr>
        <w:pStyle w:val="NoSpacing"/>
      </w:pPr>
    </w:p>
    <w:p w:rsidR="000F24D8" w:rsidRPr="000F24D8" w:rsidP="000F24D8">
      <w:pPr>
        <w:pStyle w:val="NoSpacing"/>
        <w:numPr>
          <w:ilvl w:val="0"/>
          <w:numId w:val="4"/>
        </w:numPr>
        <w:rPr>
          <w:color w:val="CC9900"/>
        </w:rPr>
      </w:pPr>
      <w:r w:rsidRPr="000F24D8">
        <w:rPr>
          <w:color w:val="CC9900"/>
        </w:rPr>
        <w:t>O primeiro conflito: a questão alemã</w:t>
      </w:r>
    </w:p>
    <w:p w:rsidR="000F24D8" w:rsidP="000F24D8">
      <w:pPr>
        <w:pStyle w:val="NoSpacing"/>
      </w:pPr>
      <w:r>
        <w:t xml:space="preserve">Este clima de desentendimento e confrontação refletiu-se de imediato na gestão conjunta do território alemão, que na sequência da Conferência de Potsdam se encontrava dividido e ocupado pelas quatro potências vencedoras. </w:t>
      </w:r>
    </w:p>
    <w:p w:rsidR="000F24D8" w:rsidP="000F24D8">
      <w:pPr>
        <w:pStyle w:val="NoSpacing"/>
      </w:pPr>
      <w:r>
        <w:t>A expansão do comunismo no primeiro ano da paz fez com que ingleses e americanos olhassem a Alemanha, não já como o inimigo vencido, mas como um aliado imprescindível à contenção do avanço soviético.</w:t>
      </w:r>
    </w:p>
    <w:p w:rsidR="000F24D8" w:rsidP="00C23C9E">
      <w:pPr>
        <w:pStyle w:val="NoSpacing"/>
      </w:pPr>
      <w:r>
        <w:t xml:space="preserve">O renascimento alemão tornou-se uma prioridade para os americanos, que intensificaram os esforços para a criação de uma república federal constituída pelos territórios sob ocupação das três potências ocidentais – República Federal Alemã (RFA). </w:t>
      </w:r>
    </w:p>
    <w:p w:rsidR="00C23C9E" w:rsidP="00C23C9E">
      <w:pPr>
        <w:pStyle w:val="NoSpacing"/>
      </w:pPr>
      <w:r>
        <w:t xml:space="preserve">A União Soviética protestou vivamente contra aquilo que considerava uma violação dos acordos estabelecidos, mas acabou por desenvolver uma atuação semelhante na sua própria zona que conduziu à criação de um Estado paralelo, sob a alçada soviética – República Democrática Alemã (RDA). </w:t>
      </w:r>
    </w:p>
    <w:p w:rsidR="00292E50" w:rsidP="00C23C9E">
      <w:pPr>
        <w:pStyle w:val="NoSpacing"/>
      </w:pPr>
      <w:r>
        <w:t xml:space="preserve">Esta divisão fez com que houvessem discórdias quanto a Berlim, uma vez que ainda lá estavam as forças militares das três potências ocidentais. </w:t>
      </w:r>
    </w:p>
    <w:p w:rsidR="00C23C9E" w:rsidP="00C23C9E">
      <w:pPr>
        <w:pStyle w:val="NoSpacing"/>
      </w:pPr>
      <w:r>
        <w:t xml:space="preserve">Numa tentativa de forçar a retirada dessas forças, Estaline bloqueia aos três aliados todos os acessos terrestres à cidade.  </w:t>
      </w:r>
    </w:p>
    <w:p w:rsidR="00B63A68" w:rsidP="00C23C9E">
      <w:pPr>
        <w:pStyle w:val="NoSpacing"/>
      </w:pPr>
      <w:r>
        <w:t xml:space="preserve">O Bloqueio de Berlim, que se prolongou de junho de 1948 a maio de 1949, foi o primeiro medir de forças entre as duas superpotências. </w:t>
      </w:r>
    </w:p>
    <w:p w:rsidR="00B63A68" w:rsidP="00C23C9E">
      <w:pPr>
        <w:pStyle w:val="NoSpacing"/>
      </w:pPr>
      <w:r>
        <w:t xml:space="preserve">Assim, três anos passados sobre o fim da Segunda Guerra, os antigos aliados tinham-se tornado rivais e a sua rivalidade dividia o mundo, pondo em risco os esforços da paz. </w:t>
      </w:r>
    </w:p>
    <w:p w:rsidR="00B63A68" w:rsidP="00C23C9E">
      <w:pPr>
        <w:pStyle w:val="NoSpacing"/>
      </w:pPr>
      <w:r>
        <w:t>Nas décadas que se seguiram, as relações internacionais refletiram esta instabilidade e impregnaram-se de um clima de forte tensão: foi o tempo da Guerra Fria.</w:t>
      </w:r>
    </w:p>
    <w:p w:rsidR="00B63A68" w:rsidRPr="000261A8" w:rsidP="00C23C9E">
      <w:pPr>
        <w:pStyle w:val="NoSpacing"/>
        <w:rPr>
          <w:color w:val="CC9900"/>
        </w:rPr>
      </w:pPr>
    </w:p>
    <w:p w:rsidR="00B63A68" w:rsidRPr="000261A8" w:rsidP="00637BE1">
      <w:pPr>
        <w:pStyle w:val="NoSpacing"/>
        <w:numPr>
          <w:ilvl w:val="0"/>
          <w:numId w:val="4"/>
        </w:numPr>
        <w:rPr>
          <w:color w:val="CC9900"/>
        </w:rPr>
      </w:pPr>
      <w:r w:rsidRPr="000261A8">
        <w:rPr>
          <w:color w:val="CC9900"/>
        </w:rPr>
        <w:t>A Guerra Fria</w:t>
      </w:r>
    </w:p>
    <w:p w:rsidR="00637BE1" w:rsidP="00637BE1">
      <w:pPr>
        <w:pStyle w:val="NoSpacing"/>
      </w:pPr>
      <w:r>
        <w:t xml:space="preserve">O afrontamento entre as duas superpotências e os seus aliados prolongou-se até meados dos anos 80, altura em que o bloco soviético mostrou os primeiros sinais de fraqueza. </w:t>
      </w:r>
    </w:p>
    <w:p w:rsidR="00EB0A58" w:rsidP="00637BE1">
      <w:pPr>
        <w:pStyle w:val="NoSpacing"/>
      </w:pPr>
      <w:r>
        <w:t>Durante este longo período, os EUA e a URSS intimidaram-se mutuamente gerando um clima de hostilidade e insegurança que deixou o mundo num permanente sobressalto. É este clima de tensão internacional que se designa por Guerra Fria.</w:t>
      </w:r>
    </w:p>
    <w:p w:rsidR="000261A8" w:rsidP="000261A8">
      <w:pPr>
        <w:pStyle w:val="NoSpacing"/>
      </w:pPr>
      <w:r>
        <w:t xml:space="preserve">A Guerra fria caracterizou-se por cada bloco se procurar superiorizar ao outro, quer em armamento como na ampliação das suas áreas de influência. Enquanto isso, a propaganda incutia nas populações a ideia da superioridade do seu sistema e a rejeição e o temor do lado contrário, ao qual se atribuíam as intenções mais sinistras e os planos mais diabólicos. </w:t>
      </w:r>
    </w:p>
    <w:p w:rsidR="000261A8" w:rsidP="000261A8">
      <w:pPr>
        <w:pStyle w:val="NoSpacing"/>
      </w:pPr>
      <w:r>
        <w:t>As duas superpotências defendiam conceções opostas de organização política, vida económica e estruturação social: de um lado, o liberalismo assente sobre o princípio da liberdade individual; do outro, o marxismo, que subordina o indivíduo ao interesse da coletividade.</w:t>
      </w:r>
    </w:p>
    <w:p w:rsidR="000261A8" w:rsidP="000261A8">
      <w:pPr>
        <w:pStyle w:val="NoSpacing"/>
      </w:pPr>
    </w:p>
    <w:p w:rsidR="000261A8" w:rsidRPr="00854D57" w:rsidP="000261A8">
      <w:pPr>
        <w:pStyle w:val="NoSpacing"/>
        <w:rPr>
          <w:color w:val="CC9900"/>
        </w:rPr>
      </w:pPr>
      <w:r w:rsidRPr="00854D57">
        <w:rPr>
          <w:color w:val="CC9900"/>
        </w:rPr>
        <w:t>O MUNDO CAPITALISTA</w:t>
      </w:r>
    </w:p>
    <w:p w:rsidR="000261A8" w:rsidP="000261A8">
      <w:pPr>
        <w:pStyle w:val="NoSpacing"/>
        <w:numPr>
          <w:ilvl w:val="0"/>
          <w:numId w:val="4"/>
        </w:numPr>
      </w:pPr>
      <w:r w:rsidRPr="00854D57">
        <w:rPr>
          <w:color w:val="CC9900"/>
        </w:rPr>
        <w:t>A política de alianças dos EUA</w:t>
      </w:r>
    </w:p>
    <w:p w:rsidR="000261A8" w:rsidP="000261A8">
      <w:pPr>
        <w:pStyle w:val="NoSpacing"/>
      </w:pPr>
      <w:r>
        <w:t>Uma vez enunciada a doutrina Truman, os EUA empenharam-se por todos os meios na contenção do comunismo. O Plano Marshall foi o primeiro passo nesse sentido, pois permitiu a reconstrução da economia europeia em moldes capitalistas mas também estreitou os laços entre a Europa Ocidental e os seus “benfeitores” americanos.</w:t>
      </w:r>
    </w:p>
    <w:p w:rsidR="006250AC" w:rsidP="000261A8">
      <w:pPr>
        <w:pStyle w:val="NoSpacing"/>
      </w:pPr>
      <w:r>
        <w:t>Em termos político-militares, a aliança entre os ocidentais não tardou a oficializar-se. A tensão provocada pelo bloqueio de Berlim acelerou as negociações que conduziram, em 1949, ao Tratado do Atlântico Norte, entre os EUA, Canadá e dez nações europeias. A operacionalização deste tratado deu origem à Organização do Tratado do Atlântico Norte (OTAN)</w:t>
      </w:r>
      <w:r>
        <w:rPr>
          <w:rStyle w:val="FootnoteReference"/>
        </w:rPr>
        <w:footnoteReference w:id="4"/>
      </w:r>
      <w:r>
        <w:t xml:space="preserve">. </w:t>
      </w:r>
    </w:p>
    <w:p w:rsidR="006250AC" w:rsidP="000261A8">
      <w:pPr>
        <w:pStyle w:val="NoSpacing"/>
      </w:pPr>
      <w:r>
        <w:t xml:space="preserve">Esta aliança apresentava-se como uma organização puramente defensiva, empenhada em resistir a um inimigo: a URSS. </w:t>
      </w:r>
    </w:p>
    <w:p w:rsidR="006250AC" w:rsidP="006250AC">
      <w:pPr>
        <w:pStyle w:val="NoSpacing"/>
      </w:pPr>
      <w:r>
        <w:t xml:space="preserve">Esta sensação de ameaça e vontade de consolidar a sua área de influência levaram os EUA a constituir várias alianças, um pouco por todo o mundo. Para além da OTAN, firmaram-se alianças multilaterais: </w:t>
      </w:r>
    </w:p>
    <w:p w:rsidR="006250AC" w:rsidP="006250AC">
      <w:pPr>
        <w:pStyle w:val="NoSpacing"/>
      </w:pPr>
      <w:r>
        <w:t>- América, 1948 a OEA (Organização dos Estados Americanos);</w:t>
      </w:r>
    </w:p>
    <w:p w:rsidR="006250AC" w:rsidP="006250AC">
      <w:pPr>
        <w:pStyle w:val="NoSpacing"/>
      </w:pPr>
      <w:r>
        <w:t>- Oceânia, 1951 a ANZUS (Austrália, Nova Zelândia e Estados Unidos);</w:t>
      </w:r>
    </w:p>
    <w:p w:rsidR="006250AC" w:rsidP="006250AC">
      <w:pPr>
        <w:pStyle w:val="NoSpacing"/>
      </w:pPr>
      <w:r>
        <w:t>- Sudoeste Asiático, 1954 a OTASE (Organização do Tratado da Ásia de Sudoeste);</w:t>
      </w:r>
    </w:p>
    <w:p w:rsidR="006250AC" w:rsidP="006250AC">
      <w:pPr>
        <w:pStyle w:val="NoSpacing"/>
      </w:pPr>
      <w:r>
        <w:t xml:space="preserve">- Médio Oriente, 1955 Pacto de Bagdade e 1957 CENTO (Organização do Tratado Central). </w:t>
      </w:r>
    </w:p>
    <w:p w:rsidR="006250AC" w:rsidP="006250AC">
      <w:pPr>
        <w:pStyle w:val="NoSpacing"/>
      </w:pPr>
    </w:p>
    <w:p w:rsidR="00D14D29" w:rsidRPr="00D14D29" w:rsidP="00D14D29">
      <w:pPr>
        <w:pStyle w:val="NoSpacing"/>
        <w:numPr>
          <w:ilvl w:val="0"/>
          <w:numId w:val="4"/>
        </w:numPr>
        <w:rPr>
          <w:color w:val="CC9900"/>
        </w:rPr>
      </w:pPr>
      <w:r w:rsidRPr="00D14D29">
        <w:rPr>
          <w:color w:val="CC9900"/>
        </w:rPr>
        <w:t xml:space="preserve">A política económica e social das democracias ocidentais </w:t>
      </w:r>
    </w:p>
    <w:p w:rsidR="00D14D29" w:rsidP="00D14D29">
      <w:pPr>
        <w:pStyle w:val="NoSpacing"/>
      </w:pPr>
      <w:r>
        <w:t xml:space="preserve">No fim da Segunda Guerra Mundial, o conceito de democracia adquiriu, no Ocidente, um novo significado – para além do respeito pelas liberdades individuais, do sufrágio universal e do multipartidarismo, considerou-se que o regime democrático deveria assegurar o bem-de-estar dos cidadãos e a justiça social. </w:t>
      </w:r>
    </w:p>
    <w:p w:rsidR="00D14D29" w:rsidP="00D14D29">
      <w:pPr>
        <w:pStyle w:val="NoSpacing"/>
      </w:pPr>
      <w:r>
        <w:t>A Grande Depressão já tinha mostrado a importância de um estado económico e socialmente interventivo, e o estado da Europa no pós-guerra exigia orientações firmes de modo a assegurar a reconstrução. Assim, as duas forças políticas que nesta época sobressaíram na Europa – o socialismo reformista e a democracia cristã – encontravam-se fortemente impregnadas de preocupações sociais.</w:t>
      </w:r>
    </w:p>
    <w:p w:rsidR="00D14D29" w:rsidP="00D14D29">
      <w:pPr>
        <w:pStyle w:val="NoSpacing"/>
      </w:pPr>
      <w:r>
        <w:t xml:space="preserve">Embora de quadrantes muito diferentes, socialistas e democratas-cristãos saíram da guerra prestigiados: ambos tinham lutado contra os regimes autoritários vencidos e apresentando alternativas aos partidos liberais. </w:t>
      </w:r>
    </w:p>
    <w:p w:rsidR="006902F5" w:rsidP="00D14D29">
      <w:pPr>
        <w:pStyle w:val="NoSpacing"/>
      </w:pPr>
      <w:r>
        <w:t xml:space="preserve">É assim, que logo em 1945, as eleições inglesas dão a vitória ao Partido Trabalhista (social-democrata), liderado por Clement Atlee, que substitui Churchill (partido conservador) à frente do Governo Britânico. </w:t>
      </w:r>
    </w:p>
    <w:p w:rsidR="006902F5" w:rsidP="00D14D29">
      <w:pPr>
        <w:pStyle w:val="NoSpacing"/>
      </w:pPr>
      <w:r>
        <w:t xml:space="preserve">Um pouco por todo o lado, partidos de orientação social-democrata viram elevar-se os seus resultados eleitorais, tendo, em alguns caso, tomando também as rédeas do poder, como aconteceu na Holanda, nos países escandinavos (Dinamarca, Noruega, Suécia) e na RFA (no fim dos anos 60). </w:t>
      </w:r>
    </w:p>
    <w:p w:rsidR="006902F5" w:rsidP="00D14D29">
      <w:pPr>
        <w:pStyle w:val="NoSpacing"/>
      </w:pPr>
      <w:r>
        <w:t xml:space="preserve">Os adeptos da social-democrata conjugam a defesa do pluralismo democrático e dos princípios da livre concorrência económica com o intervencionismo do Estado, cujo objetivo é o de regular a economia e promover o bem-estar dos cidadãos. </w:t>
      </w:r>
    </w:p>
    <w:p w:rsidR="00854D57" w:rsidP="00D14D29">
      <w:pPr>
        <w:pStyle w:val="NoSpacing"/>
      </w:pPr>
      <w:r>
        <w:t>Assim, os sociais-democratas defendem o controlo estatal dos setores-chave e uma forte tributação aos rendimentos mais elevados. Rejeitavam a ideologia marxista e contentavam-se com a distribuição da riqueza pelos cidadãos através do reforço da proteção social.</w:t>
      </w:r>
    </w:p>
    <w:p w:rsidR="00854D57" w:rsidP="00D14D29">
      <w:pPr>
        <w:pStyle w:val="NoSpacing"/>
      </w:pPr>
      <w:r>
        <w:t>Na Itália e na RFA o receio da ideologia dos socialistas deu vitória eleitoral aos democratas cristãos.</w:t>
      </w:r>
    </w:p>
    <w:p w:rsidR="00854D57" w:rsidP="00D14D29">
      <w:pPr>
        <w:pStyle w:val="NoSpacing"/>
      </w:pPr>
      <w:r>
        <w:t>A democracia-cristã tem origem na doutrina social da igreja que condena os excessos do liberalismo capitalista, atribuindo igualmente aos estados a missão de zelar pelo bem comum. Os democratas-cristãos consideram que o plano temporal e espiritual, embora distintos, não se podem separar. Os princípios do cristianismo devem influenciar todas as ações dos cristãos.</w:t>
      </w:r>
    </w:p>
    <w:p w:rsidR="00854D57" w:rsidP="00D14D29">
      <w:pPr>
        <w:pStyle w:val="NoSpacing"/>
        <w:rPr>
          <w:noProof/>
        </w:rPr>
      </w:pPr>
      <w:r>
        <w:t>Propõem uma orientação profundamente humanista, apoiada na liberdade, na justiça e na solidariedade.</w:t>
      </w:r>
      <w:r w:rsidRPr="00E55F67" w:rsidR="00E55F67">
        <w:rPr>
          <w:noProof/>
        </w:rPr>
        <w:t xml:space="preserve"> </w:t>
      </w:r>
    </w:p>
    <w:p w:rsidR="00E55F67" w:rsidP="00D14D29">
      <w:pPr>
        <w:pStyle w:val="NoSpacing"/>
        <w:rPr>
          <w:noProof/>
        </w:rPr>
      </w:pPr>
    </w:p>
    <w:p w:rsidR="00E55F67" w:rsidP="00D14D29">
      <w:pPr>
        <w:pStyle w:val="NoSpacing"/>
        <w:rPr>
          <w:noProof/>
        </w:rPr>
      </w:pPr>
      <w:r>
        <w:rPr>
          <w:noProof/>
        </w:rPr>
        <w:t xml:space="preserve">Sociais-democratas e democratas-cristãos convergem no mesmo propósito de promover reformas económicas e sociais profundas. Na Europa do pós-guerra, os governos lançam-se num vasto programa de nacionalizações que atinge bancos, companhias de seguro, transportes, etc. O Estado torna-se o principal agente económico do país, o que lhe permite exercer a sua funcao reguladora da economia. Revê-se também o sistema de importos reforçando o caráter progressivo das taxas e permite assegurar uma redistribuição mais equitativa da riqueza nacional. </w:t>
      </w:r>
    </w:p>
    <w:p w:rsidR="00E55F67" w:rsidP="00D14D29">
      <w:pPr>
        <w:pStyle w:val="NoSpacing"/>
        <w:rPr>
          <w:noProof/>
        </w:rPr>
      </w:pPr>
      <w:r>
        <w:rPr>
          <w:noProof/>
        </w:rPr>
        <w:t>Estas medidas modificaram a conceção liberal do Estado dando origem ao Estado-Providência.</w:t>
      </w:r>
    </w:p>
    <w:p w:rsidR="00E53999" w:rsidP="00D14D29">
      <w:pPr>
        <w:pStyle w:val="NoSpacing"/>
        <w:rPr>
          <w:noProof/>
        </w:rPr>
      </w:pPr>
    </w:p>
    <w:p w:rsidR="00E53999" w:rsidP="00E53999">
      <w:pPr>
        <w:pStyle w:val="NoSpacing"/>
        <w:numPr>
          <w:ilvl w:val="0"/>
          <w:numId w:val="4"/>
        </w:numPr>
      </w:pPr>
      <w:r w:rsidRPr="00BC6B06">
        <w:rPr>
          <w:color w:val="CC9900"/>
        </w:rPr>
        <w:t>A afirmação do Estado-Providência</w:t>
      </w:r>
    </w:p>
    <w:p w:rsidR="00E53999" w:rsidP="00E53999">
      <w:pPr>
        <w:pStyle w:val="NoSpacing"/>
      </w:pPr>
      <w:r>
        <w:t xml:space="preserve">O Reino Unidade foi o primeiro país com o Estado do bem-estar, onde cada cidadão tem asseguradas as suas necessidades básicas. </w:t>
      </w:r>
    </w:p>
    <w:p w:rsidR="00A56581" w:rsidP="00E53999">
      <w:pPr>
        <w:pStyle w:val="NoSpacing"/>
      </w:pPr>
      <w:r>
        <w:t>Beveridge confiava que um sistema social alargado teria como efeito a eliminação dos “cinco grandes males sociais”: carência, doença, miséria, ignorância e ociosidade.</w:t>
      </w:r>
    </w:p>
    <w:p w:rsidR="00A56581" w:rsidP="00E53999">
      <w:pPr>
        <w:pStyle w:val="NoSpacing"/>
      </w:pPr>
      <w:r>
        <w:t xml:space="preserve">A abrangência das medidas adotadas em Inglaterra e, sobretudo, a ousadia do estabelecimento de um sistema nacional de Saúde assente na gratuidade total dos serviços médicos e extensivos a todos os cidadãos, serviram de modelo à maioria dos países europeus. </w:t>
      </w:r>
    </w:p>
    <w:p w:rsidR="00321C3A" w:rsidP="00BC6B06">
      <w:pPr>
        <w:pStyle w:val="NoSpacing"/>
      </w:pPr>
      <w:r>
        <w:t>A estruturação do Estado-Providência na Europa do pós-guerra fez-se rapidamente. O sistema de proteção social generaliza-se a toda a população passando a acautelar as situações de desemprego, acidente, velhice e doença; estabelecem-se prestações de ajuda familiar (abono) e outros subsídios aos mais pobres. Complementarmente, ampliam-se as responsabilidades do Estado no que pertence à habitação, ao ensino e à assistência médica.</w:t>
      </w:r>
    </w:p>
    <w:p w:rsidR="00BC6B06" w:rsidP="00BC6B06">
      <w:pPr>
        <w:pStyle w:val="NoSpacing"/>
      </w:pPr>
      <w:r>
        <w:t>Este conjunto de medidas visa um duplo objetivo:</w:t>
      </w:r>
    </w:p>
    <w:p w:rsidR="00BC6B06" w:rsidP="00BC6B06">
      <w:pPr>
        <w:pStyle w:val="NoSpacing"/>
      </w:pPr>
      <w:r>
        <w:t>- Reduz a miséria e o mal-estar social contribuindo para uma repartição mais equitativa da riqueza;</w:t>
      </w:r>
    </w:p>
    <w:p w:rsidR="00BC6B06" w:rsidP="00BC6B06">
      <w:pPr>
        <w:pStyle w:val="NoSpacing"/>
      </w:pPr>
      <w:r>
        <w:t xml:space="preserve">- Assegura uma certa estabilidade à economia, já que evita descidas drásticas da procura como a que ocorreu durante a crise dos anos 30. </w:t>
      </w:r>
    </w:p>
    <w:p w:rsidR="00BC6B06" w:rsidP="00BC6B06">
      <w:pPr>
        <w:pStyle w:val="NoSpacing"/>
      </w:pPr>
    </w:p>
    <w:p w:rsidR="00BC6B06" w:rsidP="00BC6B06">
      <w:pPr>
        <w:pStyle w:val="NoSpacing"/>
      </w:pPr>
      <w:r>
        <w:t xml:space="preserve">Assim, o Estado-Providência contribuiu para a prosperidade económica que o Ocidente viveu nas três décadas que se seguiram à Segunda Guerra Mundial. </w:t>
      </w:r>
    </w:p>
    <w:p w:rsidR="0005674D" w:rsidP="00637BE1">
      <w:pPr>
        <w:pStyle w:val="NoSpacing"/>
      </w:pPr>
    </w:p>
    <w:p w:rsidR="00BC6B06" w:rsidRPr="009135F0" w:rsidP="00BC6B06">
      <w:pPr>
        <w:pStyle w:val="NoSpacing"/>
        <w:numPr>
          <w:ilvl w:val="0"/>
          <w:numId w:val="4"/>
        </w:numPr>
        <w:rPr>
          <w:color w:val="CC9900"/>
        </w:rPr>
      </w:pPr>
      <w:r w:rsidRPr="009135F0">
        <w:rPr>
          <w:color w:val="CC9900"/>
        </w:rPr>
        <w:t>A prosperidade económica</w:t>
      </w:r>
    </w:p>
    <w:p w:rsidR="00BC6B06" w:rsidP="00BC6B06">
      <w:pPr>
        <w:pStyle w:val="NoSpacing"/>
      </w:pPr>
      <w:r>
        <w:t xml:space="preserve">O crescimento económico do pós-guerra estruturou-se em bases sólidas. </w:t>
      </w:r>
    </w:p>
    <w:p w:rsidR="00BC6B06" w:rsidP="00BC6B06">
      <w:pPr>
        <w:pStyle w:val="NoSpacing"/>
      </w:pPr>
      <w:r>
        <w:t xml:space="preserve">Os governos não só assumiram grandes responsabilidades económicas, como delinearam planos de desenvolvimento coerentes, que permitiram estabelecer prioridades, rentabilizar a ajuda Marshall e definir diretrizes futuras. </w:t>
      </w:r>
    </w:p>
    <w:p w:rsidR="00BC6B06" w:rsidP="00BC6B06">
      <w:pPr>
        <w:pStyle w:val="NoSpacing"/>
      </w:pPr>
      <w:r>
        <w:t>Externamente, os acordos de Bretton Woods</w:t>
      </w:r>
      <w:r>
        <w:rPr>
          <w:rStyle w:val="FootnoteReference"/>
        </w:rPr>
        <w:footnoteReference w:id="5"/>
      </w:r>
      <w:r w:rsidR="00FA4037">
        <w:t xml:space="preserve"> e a criação de espaços económicos alargados (como a CEE) tiveram um papel semelhante, harmonizando e fomentando as relações económicas internacionais. </w:t>
      </w:r>
    </w:p>
    <w:p w:rsidR="00FA4037" w:rsidP="00BC6B06">
      <w:pPr>
        <w:pStyle w:val="NoSpacing"/>
      </w:pPr>
    </w:p>
    <w:p w:rsidR="00FA4037" w:rsidP="00BC6B06">
      <w:pPr>
        <w:pStyle w:val="NoSpacing"/>
      </w:pPr>
      <w:r>
        <w:t>O capitalismo, que na década de 30 parecera condenado pela Grande Depressão, emergiu dos escombros da guerra e atingiu o seu auge. Entre 1945 e 1973, a produção mundial mais do que triplicou e, em certos setores, como a produção energética e a automóvel, multiplicou-se por dez.</w:t>
      </w:r>
    </w:p>
    <w:p w:rsidR="00FA4037" w:rsidP="00BC6B06">
      <w:pPr>
        <w:pStyle w:val="NoSpacing"/>
      </w:pPr>
      <w:r>
        <w:t xml:space="preserve">As economias cresceram de forma contínua, sem períodos de crise. As taxas de crescimento, especialmente altas de certos países como a RFA, França ou o Japão surpreenderam os analistas, que começaram a referir-se-lhes como “milagre económico”. Estes cerca de trinta anos de uma prosperidade material sem precedentes ficaram na História como os “Trinta Gloriosos”. </w:t>
      </w:r>
    </w:p>
    <w:p w:rsidR="002D43E2" w:rsidP="00BC6B06">
      <w:pPr>
        <w:pStyle w:val="NoSpacing"/>
      </w:pPr>
      <w:r>
        <w:t xml:space="preserve">A expansão económica dos “Trinta Gloriosos” conjuga o desenvolvimento de processos já iniciados com aspetos completamente novos. Entre os seus traços característicos podemos destacar: </w:t>
      </w:r>
    </w:p>
    <w:p w:rsidR="002D43E2" w:rsidP="00BC6B06">
      <w:pPr>
        <w:pStyle w:val="NoSpacing"/>
      </w:pPr>
      <w:r>
        <w:t xml:space="preserve">- </w:t>
      </w:r>
      <w:r w:rsidRPr="002D43E2">
        <w:rPr>
          <w:u w:val="single"/>
        </w:rPr>
        <w:t>Aceleração do progresso tecnológico</w:t>
      </w:r>
      <w:r>
        <w:t>, que atingiu todos os setores desde as fibras sintéticas, aos plásticos, medicina, aeronáutica, eletrónica, entre muitos outros. Rapidamente produzidas em série, as inovações tecnológicas revolucionaram a vida quotidiana e os processos de produção;</w:t>
      </w:r>
    </w:p>
    <w:p w:rsidR="002D43E2" w:rsidP="00BC6B06">
      <w:pPr>
        <w:pStyle w:val="NoSpacing"/>
      </w:pPr>
      <w:r>
        <w:t xml:space="preserve">- </w:t>
      </w:r>
      <w:r w:rsidRPr="002D43E2">
        <w:rPr>
          <w:u w:val="single"/>
        </w:rPr>
        <w:t>Recurso ao petróleo como matéria energética por excelência</w:t>
      </w:r>
      <w:r>
        <w:t>, em detrimento do carvão. A extração do “ouro negro” coubera até à Segunda Guerra Mundial aos EUA e a partir dos anos 60 deslocara-se para os países do Médio Oriente, que se tornam os seus principais fornecedores. A abundância e o baixo preço do petróleo alimentaram a prosperidade económica, permitindo uma autêntica revolução nos transportes, para além de uma enorme gama de novos produtos industriais;</w:t>
      </w:r>
    </w:p>
    <w:p w:rsidR="002D43E2" w:rsidP="00BC6B06">
      <w:pPr>
        <w:pStyle w:val="NoSpacing"/>
      </w:pPr>
      <w:r>
        <w:t xml:space="preserve">- </w:t>
      </w:r>
      <w:r w:rsidRPr="00F86A1D">
        <w:rPr>
          <w:u w:val="single"/>
        </w:rPr>
        <w:t>Aumento da concentração industrial e do número de multinacionais</w:t>
      </w:r>
      <w:r>
        <w:t>, verdadeiros gigantes económicos que fabricam e comercializam os seus produtos nos quatro cantos do Mundo. Presentes em praticamente todos os setores (matérias-primas, transportes, comunicações, siderurgia, eletrónica, alimentação…) estas empresas investem grandes somas na investigação científica, contribuindo para a aceleração do progresso técnico a que nos referimos;</w:t>
      </w:r>
    </w:p>
    <w:p w:rsidR="00A525F7" w:rsidP="00A525F7">
      <w:pPr>
        <w:pStyle w:val="NoSpacing"/>
      </w:pPr>
      <w:r>
        <w:t xml:space="preserve">- </w:t>
      </w:r>
      <w:r w:rsidRPr="00F86A1D">
        <w:rPr>
          <w:u w:val="single"/>
        </w:rPr>
        <w:t>Aumento significativo da população ativa</w:t>
      </w:r>
      <w:r>
        <w:t xml:space="preserve"> proporcionado pelo reforço de mão de obra feminina no mercado de trabalho, o </w:t>
      </w:r>
      <w:r w:rsidRPr="00F86A1D">
        <w:rPr>
          <w:i/>
        </w:rPr>
        <w:t>baby-boom</w:t>
      </w:r>
      <w:r>
        <w:rPr>
          <w:rStyle w:val="FootnoteReference"/>
          <w:i/>
        </w:rPr>
        <w:footnoteReference w:id="6"/>
      </w:r>
      <w:r>
        <w:t xml:space="preserve"> dos anos 40-60 e a imigração de trabalhadores oriundos de países menos desenvolvidos. Para além disto, a mão de obra tornou-se mais qualificada, em virtude do prolongamento da escolaridade, sendo somente os imigrantes a desempenhar os trabalhos que não requeriam um alto nível de formação profissional, e sendo por isso, mal remunerados;</w:t>
      </w:r>
    </w:p>
    <w:p w:rsidR="00A525F7" w:rsidP="00A525F7">
      <w:pPr>
        <w:pStyle w:val="NoSpacing"/>
      </w:pPr>
      <w:r>
        <w:t xml:space="preserve">- </w:t>
      </w:r>
      <w:r w:rsidRPr="00F86A1D">
        <w:rPr>
          <w:u w:val="single"/>
        </w:rPr>
        <w:t>Modernização da agricultura</w:t>
      </w:r>
      <w:r>
        <w:t>, setor onde a produtividade aumenta, de tal como que permite aos países desenvolvidos passarem de importares a exportadores de produtos alimentares. Renovada por grandes investimentos, novas tecnologias e uma mentalidade verdadeiramente empresarial, a agricultura libera, em pouco tempo, grandes quantidades de mão de obra, que migra para os núcleos urbanos. Este êxodo rural contribuiu para alterar a relação entre os três setores de atividade;</w:t>
      </w:r>
    </w:p>
    <w:p w:rsidR="00A525F7" w:rsidP="00A525F7">
      <w:pPr>
        <w:pStyle w:val="NoSpacing"/>
      </w:pPr>
      <w:r>
        <w:t xml:space="preserve">- </w:t>
      </w:r>
      <w:r w:rsidRPr="00F86A1D">
        <w:rPr>
          <w:u w:val="single"/>
        </w:rPr>
        <w:t>Crescimento do setor terciário</w:t>
      </w:r>
      <w:r>
        <w:t xml:space="preserve">, que tende a absorver a maior percentagem de trabalhadores. O surto espetacular das trocas comerciais, a aposta no ensino, os serviços sociais prestados pelo Estado e a complexidade crescente da administração das empresas multiplicaram o número de postos de trabalho neste setor. Assim, as classes médias alargam-se, o que contribuiu para a subida do nível de vida e para o equilíbrio social. </w:t>
      </w:r>
    </w:p>
    <w:p w:rsidR="00F86A1D" w:rsidP="00A525F7">
      <w:pPr>
        <w:pStyle w:val="NoSpacing"/>
      </w:pPr>
    </w:p>
    <w:p w:rsidR="00F86A1D" w:rsidRPr="009135F0" w:rsidP="00F86A1D">
      <w:pPr>
        <w:pStyle w:val="NoSpacing"/>
        <w:numPr>
          <w:ilvl w:val="0"/>
          <w:numId w:val="4"/>
        </w:numPr>
        <w:rPr>
          <w:color w:val="CC9900"/>
        </w:rPr>
      </w:pPr>
      <w:r w:rsidRPr="009135F0">
        <w:rPr>
          <w:color w:val="CC9900"/>
        </w:rPr>
        <w:t>A sociedade de consumo</w:t>
      </w:r>
    </w:p>
    <w:p w:rsidR="00F86A1D" w:rsidP="00F86A1D">
      <w:pPr>
        <w:pStyle w:val="NoSpacing"/>
      </w:pPr>
      <w:r>
        <w:t>O efeito mais evidente dos “Trinta Gloriosos” foi a generalização do conforto material. O pleno emprego, os salários altos e a produção maciça de bens a preços acessíveis conduziram à sociedade de consumo, que transformou os lares e o estilo de vida da maioria da população dos países capitalistas.</w:t>
      </w:r>
    </w:p>
    <w:p w:rsidR="00F86A1D" w:rsidP="00F86A1D">
      <w:pPr>
        <w:pStyle w:val="NoSpacing"/>
      </w:pPr>
      <w:r>
        <w:t xml:space="preserve">Quando os gastos na alimentação e em outros bens essenciais deixaram de absorver a quase totalidade dos orçamentos familiares, as casas tornaram-se cómodas e bem equipadas. Os aparelhos de aquecimento, o telefone, a televisão e toda uma vasta gama de eletrodomésticos multiplicaram-se rapidamente e o automóvel tomou o seu lugar nas garagens e nas ruas, proporcionando longos passeios de lazer. As férias pagas, privilégio que se alargou nos anos 60, vieram acentuar a ideia de que a vida merece ser desfrutada e o dinheiro existe para se gastar. O cidadão comum é permanentemente estimulado a despender mais do que o necessário. Multiplicam-se os grandes espaços comerciais. Uma publicidade bem orquestrada lembra as maravilhas a que todos “têm direito” e que as vendas a crédito permitem adquirir. </w:t>
      </w:r>
    </w:p>
    <w:p w:rsidR="00306715" w:rsidP="00F86A1D">
      <w:pPr>
        <w:pStyle w:val="NoSpacing"/>
      </w:pPr>
      <w:r>
        <w:t>A oferta e a pressão publicitária são de tal ordem que os bens rapidamente perdem valor, “passam de moda” e se substituem por outros mais atualizados.</w:t>
      </w:r>
    </w:p>
    <w:p w:rsidR="00306715" w:rsidP="00F86A1D">
      <w:pPr>
        <w:pStyle w:val="NoSpacing"/>
      </w:pPr>
    </w:p>
    <w:p w:rsidR="00306715" w:rsidRPr="00306715" w:rsidP="00F86A1D">
      <w:pPr>
        <w:pStyle w:val="NoSpacing"/>
        <w:rPr>
          <w:color w:val="CC9900"/>
        </w:rPr>
      </w:pPr>
      <w:r w:rsidRPr="00306715">
        <w:rPr>
          <w:color w:val="CC9900"/>
        </w:rPr>
        <w:t>O MUNDO COMUNISTA</w:t>
      </w:r>
    </w:p>
    <w:p w:rsidR="00306715" w:rsidP="00306715">
      <w:pPr>
        <w:pStyle w:val="NoSpacing"/>
      </w:pPr>
      <w:r>
        <w:t>Em 1945, quando o segundo conflito mundial terminou, existiam no mundo apenas dois países comunistas: a URSS e a Mongólia. Entre 1945 e 1949, o comunismo implanta-se na Europa Oriental, na Coreia do Norte e na China. Nos anos 50 e 60 continua o seu progresso na Ásia e em Cuba. Na década de 70, difunde-se na África Negra.</w:t>
      </w:r>
    </w:p>
    <w:p w:rsidR="00306715" w:rsidRPr="00306715" w:rsidP="00306715">
      <w:pPr>
        <w:pStyle w:val="NoSpacing"/>
        <w:numPr>
          <w:ilvl w:val="0"/>
          <w:numId w:val="4"/>
        </w:numPr>
        <w:rPr>
          <w:color w:val="CC9900"/>
        </w:rPr>
      </w:pPr>
      <w:r w:rsidRPr="00306715">
        <w:rPr>
          <w:color w:val="CC9900"/>
        </w:rPr>
        <w:t>O expansionismo soviético</w:t>
      </w:r>
    </w:p>
    <w:p w:rsidR="00306715" w:rsidP="00306715">
      <w:pPr>
        <w:pStyle w:val="NoSpacing"/>
      </w:pPr>
      <w:r>
        <w:t>A expansão do mundo comunista fez-se, em grande parte, pela URSS. Após a Segunda Guerra Mundial, o reforço da posição militar soviética e o desencadear do processo de descolonização criaram condições favoráveis quer à extensão do comunismo, quer ao estreitamento dos laços de amizade e cooperação entre Moscovo e os países recentemente emancipados. A URSS saiu, assim, do isolamento a que estivera votada desde a Revolução de outubro, alargando a sua influência nos quatro continentes.</w:t>
      </w:r>
    </w:p>
    <w:p w:rsidR="00306715" w:rsidP="00306715">
      <w:pPr>
        <w:pStyle w:val="NoSpacing"/>
      </w:pPr>
    </w:p>
    <w:p w:rsidR="00306715" w:rsidRPr="009135F0" w:rsidP="009135F0">
      <w:pPr>
        <w:pStyle w:val="NoSpacing"/>
        <w:rPr>
          <w:u w:val="single"/>
        </w:rPr>
      </w:pPr>
      <w:r w:rsidRPr="009135F0">
        <w:rPr>
          <w:u w:val="single"/>
        </w:rPr>
        <w:t>Europa:</w:t>
      </w:r>
    </w:p>
    <w:p w:rsidR="00306715" w:rsidP="00306715">
      <w:pPr>
        <w:pStyle w:val="NoSpacing"/>
      </w:pPr>
      <w:r w:rsidRPr="00306715">
        <w:t>A primeira vaga de extensão do comunismo atingiu a Europa Oriental e, com exceção da Jugoslávia, fez-se sobre a pressão direta da URSS. Em meados de 1948, os partidos comunistas dos países de Leste tinham-se já assumido como partidos únicos e, em pouco tempo, a vida política, económica e social destas regiões foi reorganizada em moldes semelhantes aos da União Soviética.</w:t>
      </w:r>
    </w:p>
    <w:p w:rsidR="00306715" w:rsidRPr="00306715" w:rsidP="00306715">
      <w:pPr>
        <w:pStyle w:val="NoSpacing"/>
      </w:pPr>
      <w:r>
        <w:t xml:space="preserve">Os novos países socialistas receberam a designação de democracias populares. Por oposição às democracias liberais, julgadas incapazes de garantir a verdadeira igualdade devido à persistência dos privilégios de classe, as democracias liberais defendem que a gestão do Estado pertence, somente, às classes trabalhadoras. Estas constituem a maior, exercem o poder através do Partido Comunista que, supostamente, representa os seus interesses. </w:t>
      </w:r>
    </w:p>
    <w:p w:rsidR="00306715" w:rsidP="00306715">
      <w:pPr>
        <w:pStyle w:val="NoSpacing"/>
      </w:pPr>
      <w:r>
        <w:t xml:space="preserve">Em 1955, os laços entre as democracias populares foram reforçadas com a constituição do Pacto de Varsóvia, aliança militar que previa a resposta conjunta a qualquer eventual agressão. </w:t>
      </w:r>
    </w:p>
    <w:p w:rsidR="007546AB" w:rsidP="007546AB">
      <w:pPr>
        <w:pStyle w:val="NoSpacing"/>
      </w:pPr>
      <w:r>
        <w:t>Considerando-se a “pátria do socialismo”, a União Soviética impôs um modelo único e rígido, do qual não admitiu desvios. É assim que, quando estalaram protestos e rebeliões contra o seu excessivo domínio, Moscovo não hesitou em utilizar a força para manter a coesão do seu bloco. Os dois casos mais graves ocorreram na Hungria, em 1956, e na Checoslováquia, em 1968. As ruas de Budapeste e de Praga viram-se, então, ocupadas pelos tanques soviéticos. Este desejo de manter intocada a hegemonia comunista na Europa Oriental conduziu também, em 1961, à construção do célebre muro de Berlim, que rapidamente se tornou no símbolo da Guerra Fria na Europa e no Mundo.</w:t>
      </w:r>
    </w:p>
    <w:p w:rsidR="007546AB" w:rsidP="00306715">
      <w:pPr>
        <w:pStyle w:val="NoSpacing"/>
      </w:pPr>
    </w:p>
    <w:p w:rsidR="007546AB" w:rsidRPr="009135F0" w:rsidP="00306715">
      <w:pPr>
        <w:pStyle w:val="NoSpacing"/>
        <w:rPr>
          <w:u w:val="single"/>
        </w:rPr>
      </w:pPr>
      <w:r w:rsidRPr="009135F0">
        <w:rPr>
          <w:u w:val="single"/>
        </w:rPr>
        <w:t xml:space="preserve">Ásia: </w:t>
      </w:r>
    </w:p>
    <w:p w:rsidR="007546AB" w:rsidP="00306715">
      <w:pPr>
        <w:pStyle w:val="NoSpacing"/>
      </w:pPr>
      <w:r>
        <w:t>Fora da Europa, o único país em que a implantação do regime comunista que ficou a dever à intervenção direta da URSS foi a Coreia.</w:t>
      </w:r>
    </w:p>
    <w:p w:rsidR="007546AB" w:rsidP="00306715">
      <w:pPr>
        <w:pStyle w:val="NoSpacing"/>
      </w:pPr>
      <w:r>
        <w:t>Ocupada pelos Japoneses, a Coreia foi, no fim da Segunda Guerra Mundial, libertada pela ação conjunta dos exércitos soviético e americano, que, naturalmente, não se entenderam quanto ao futuro regime político do país. A Coreia foi, por isso, dividida em dois estados: a norte, a República Popular da Coreia, comunista, apoiada pela URSS; a sul, a República Democrática da Coreia, conservadora, sustentada pelos Estados Unidos. A posterior invasão da Coreia do Sul pela República Popular do norte, com vista á reunificação do território sob a égide do socialismo, desencadeou uma violenta guerra (1950-1953). Por fim, repôs-se a separação entre as duas Coreias, que se mantêm estados rivais ainda hoje.</w:t>
      </w:r>
    </w:p>
    <w:p w:rsidR="007546AB" w:rsidP="007546AB">
      <w:pPr>
        <w:pStyle w:val="NoSpacing"/>
      </w:pPr>
      <w:r>
        <w:t>A China, onde, em outubro de 1949, Mao Tsé-Tung proclamou a instauração de uma República Popular. A tomada do poder pelos comunistas chineses foi uma longa luta, que se iniciara nos anos 20 e se reacendera após a Segunda Guerra Mundial. Embora o apoio de Moscovo aos revolucionários não possa considerar-se decisivo para a vitória alcançada, poucos meses decorridos desde a formação do novo Governo, Mao Tsé-Tung e o ministro dos Negócios Estrangeiros, Chou En Lai, assinam, em Moscovo, um Tratado de Amizade, Aliança e Assistência Mútua, que coloca a China na esfera soviética.</w:t>
      </w:r>
    </w:p>
    <w:p w:rsidR="007546AB" w:rsidP="007546AB">
      <w:pPr>
        <w:pStyle w:val="NoSpacing"/>
      </w:pPr>
      <w:r>
        <w:t xml:space="preserve"> Apesar de se ter afastado da URSS, a China seguiu o modelo político e económico do socialismo russo. A China Popular assumiu, ao lado da URSS, as suas obrigações na difusão do comunismo.</w:t>
      </w:r>
    </w:p>
    <w:p w:rsidR="007546AB" w:rsidP="007546AB">
      <w:pPr>
        <w:pStyle w:val="NoSpacing"/>
      </w:pPr>
    </w:p>
    <w:p w:rsidR="007546AB" w:rsidRPr="009135F0" w:rsidP="007546AB">
      <w:pPr>
        <w:pStyle w:val="NoSpacing"/>
        <w:rPr>
          <w:u w:val="single"/>
        </w:rPr>
      </w:pPr>
      <w:r w:rsidRPr="009135F0">
        <w:rPr>
          <w:u w:val="single"/>
        </w:rPr>
        <w:t>América Latina e África:</w:t>
      </w:r>
    </w:p>
    <w:p w:rsidR="008C447A" w:rsidP="007546AB">
      <w:pPr>
        <w:pStyle w:val="NoSpacing"/>
      </w:pPr>
      <w:r>
        <w:t xml:space="preserve">A influência soviética estende-se, nos anos 60 e 70, à América Latina e à África (com a descolonização, nomeadamente Angola e Moçambique). </w:t>
      </w:r>
    </w:p>
    <w:p w:rsidR="008C447A" w:rsidP="007546AB">
      <w:pPr>
        <w:pStyle w:val="NoSpacing"/>
      </w:pPr>
      <w:r>
        <w:t xml:space="preserve">O ponto fulcral da expansão comunista na América Latina foi Cuba. Em 1959, um punhado de revolucionários, sob o comando de Fidel Castro e do mítico Che Guevara, derruba o ditador pró-americano Fulgêncio Batista. As preocupações socializantes do novo regime cubano valem-lhe a hostilidade de Washington, que apadrinha mesmo uma tentativa falhada de retoma do poder por exilados anticastristas (desembarque na Baía dos Porcos, com o objetivo de matar Fidel Castro). </w:t>
      </w:r>
    </w:p>
    <w:p w:rsidR="007546AB" w:rsidP="007546AB">
      <w:pPr>
        <w:pStyle w:val="NoSpacing"/>
      </w:pPr>
      <w:r>
        <w:t>Fidel Castro aceita o apoio da URSS e Cuba transforma-se num bastião avançado do comunismo na América Central. A permanência soviética em Cuba confirma-se quando, em 1962, aviões americanos obtêm provas fotográficas da instalação, na ilha, de mísseis russos de médio alcance, capazes de atingir o território americano. A exigência firme de retirada dos mísseis, feita pelo presidente Kennedy, coloca o Mundo perante a eminência de uma guerra nuclear entre as duas superpotências. Felizmente, a crise acaba por resolver-se com cedências mútuas: Kruchtchev aceita retirar os mísseis, enquanto os Estados Unidos se comprometem a não tentar derrubar, novamente, o regime cubano. Cuba desempenhará um papel ativo na proliferação do comunismo.</w:t>
      </w:r>
    </w:p>
    <w:p w:rsidR="007546AB" w:rsidP="007546AB">
      <w:pPr>
        <w:pStyle w:val="NoSpacing"/>
      </w:pPr>
      <w:r>
        <w:t>Tal como o continente asiático, a África, recém-descolonizada, mostrou-se bastante permeável à influência soviética.</w:t>
      </w:r>
    </w:p>
    <w:p w:rsidR="008C447A" w:rsidP="007546AB">
      <w:pPr>
        <w:pStyle w:val="NoSpacing"/>
      </w:pPr>
    </w:p>
    <w:p w:rsidR="008C447A" w:rsidP="007546AB">
      <w:pPr>
        <w:pStyle w:val="NoSpacing"/>
      </w:pPr>
    </w:p>
    <w:p w:rsidR="008C447A" w:rsidRPr="008C447A" w:rsidP="008C447A">
      <w:pPr>
        <w:pStyle w:val="NoSpacing"/>
        <w:numPr>
          <w:ilvl w:val="0"/>
          <w:numId w:val="4"/>
        </w:numPr>
        <w:rPr>
          <w:color w:val="CC9900"/>
        </w:rPr>
      </w:pPr>
      <w:r w:rsidRPr="008C447A">
        <w:rPr>
          <w:color w:val="CC9900"/>
        </w:rPr>
        <w:t>Opções e realizações da economia de direção central</w:t>
      </w:r>
    </w:p>
    <w:p w:rsidR="008C447A" w:rsidP="008C447A">
      <w:pPr>
        <w:pStyle w:val="NoSpacing"/>
      </w:pPr>
      <w:r>
        <w:t>Logo que a guerra terminou, a URSS retomou o modelo de planificação económica: planos quinquenais e a partir de 1958 septenais, sendo a primeira prioridade a indústria pesada. Imensos complexos siderúrgicos e centrais hidroelétricas fazem da União Soviética a segunda potência industrial do Mundo e garantem-lhe o poder militar necessário ao afrontamento dos tempos da Guerra Fria.</w:t>
      </w:r>
    </w:p>
    <w:p w:rsidR="008C447A" w:rsidP="008C447A">
      <w:pPr>
        <w:pStyle w:val="NoSpacing"/>
      </w:pPr>
      <w:r>
        <w:t>Nos países de Leste, a proclamação das Repúblicas Populares implanta também o modelo económico soviético. Os meios de produção são coletivizados e reorganizados em moldes idênticos aos da URSS, sendo a prioridade absoluta a industrialização, baseada na indústria pesada.</w:t>
      </w:r>
    </w:p>
    <w:p w:rsidR="008C447A" w:rsidP="008C447A">
      <w:pPr>
        <w:pStyle w:val="NoSpacing"/>
      </w:pPr>
      <w:r>
        <w:t xml:space="preserve">Os novos países socialistas europeus, com exceção da Checoslováquia e da RDA, eram essencialmente agrícolas, industrializaram-se rapidamente. </w:t>
      </w:r>
    </w:p>
    <w:p w:rsidR="008C447A" w:rsidP="008C447A">
      <w:pPr>
        <w:pStyle w:val="NoSpacing"/>
      </w:pPr>
    </w:p>
    <w:p w:rsidR="008C447A" w:rsidP="008C447A">
      <w:pPr>
        <w:pStyle w:val="NoSpacing"/>
      </w:pPr>
      <w:r>
        <w:t>No entanto, o nível de vida das populações não acompanha esta evolução económica. As jornadas de trabalho mantêm-se excessivas (cerca de 10 horas), os salários sobem a um ritmo muito lento e as carências de bens de toda a espécie mantêm-se. Negligenciados pelos primeiros planos, a agricultura, a construção habitacional e o setor terciário avançam lentamente. Nas cidades, que a industrialização fez crescer a um ritmo muito rápido, a população amontoa-se em bairros periféricos, superpovoados e doentias. As longas filas de espera para adquirir bens essenciais tornam-se uma rotina diária.</w:t>
      </w:r>
    </w:p>
    <w:p w:rsidR="008C447A" w:rsidP="008C447A">
      <w:pPr>
        <w:pStyle w:val="NoSpacing"/>
      </w:pPr>
    </w:p>
    <w:p w:rsidR="008C447A" w:rsidRPr="009135F0" w:rsidP="008C447A">
      <w:pPr>
        <w:pStyle w:val="NoSpacing"/>
        <w:rPr>
          <w:u w:val="single"/>
        </w:rPr>
      </w:pPr>
      <w:r w:rsidRPr="009135F0">
        <w:rPr>
          <w:u w:val="single"/>
        </w:rPr>
        <w:t xml:space="preserve">Os bloqueios económicos </w:t>
      </w:r>
    </w:p>
    <w:p w:rsidR="008C447A" w:rsidP="008C447A">
      <w:pPr>
        <w:pStyle w:val="NoSpacing"/>
      </w:pPr>
      <w:r>
        <w:t>Passado o primeiro impulso industrializador, as economias planificadas começam a mostrar, de forma mais evidente, as suas debilidades:</w:t>
      </w:r>
    </w:p>
    <w:p w:rsidR="00A31320" w:rsidP="008C447A">
      <w:pPr>
        <w:pStyle w:val="NoSpacing"/>
      </w:pPr>
      <w:r>
        <w:t>- As empresas não gozam de autonomia na seleção das produções, equipamentos, trabalhadores, fixação de salários e preços ou na escola de fornecedores e clientes;</w:t>
      </w:r>
    </w:p>
    <w:p w:rsidR="00A31320" w:rsidP="008C447A">
      <w:pPr>
        <w:pStyle w:val="NoSpacing"/>
      </w:pPr>
      <w:r>
        <w:t>- Gestão burocrática que se limita a cumprir as quantidades previstas no plano, sem olhar à qualidade ou rentabilidade dos equipamentos e da mão de obra;</w:t>
      </w:r>
    </w:p>
    <w:p w:rsidR="00A31320" w:rsidP="008C447A">
      <w:pPr>
        <w:pStyle w:val="NoSpacing"/>
      </w:pPr>
      <w:r>
        <w:t>- Bens de consumo escassos;</w:t>
      </w:r>
    </w:p>
    <w:p w:rsidR="00A31320" w:rsidP="008C447A">
      <w:pPr>
        <w:pStyle w:val="NoSpacing"/>
      </w:pPr>
      <w:r>
        <w:t>- Poucos produtos agrícolas, dado que a agricultura não é prioridade;</w:t>
      </w:r>
    </w:p>
    <w:p w:rsidR="00A31320" w:rsidP="008C447A">
      <w:pPr>
        <w:pStyle w:val="NoSpacing"/>
      </w:pPr>
      <w:r>
        <w:t xml:space="preserve">- Habitações caras, optando a população por viver na periferia sem condições. </w:t>
      </w:r>
    </w:p>
    <w:p w:rsidR="00A31320" w:rsidP="008C447A">
      <w:pPr>
        <w:pStyle w:val="NoSpacing"/>
      </w:pPr>
    </w:p>
    <w:p w:rsidR="00A31320" w:rsidP="008C447A">
      <w:pPr>
        <w:pStyle w:val="NoSpacing"/>
      </w:pPr>
      <w:r>
        <w:t xml:space="preserve">Para ultrapassar os bloqueios económicos a URSS permite realizar reformas. </w:t>
      </w:r>
    </w:p>
    <w:p w:rsidR="00A31320" w:rsidP="008C447A">
      <w:pPr>
        <w:pStyle w:val="NoSpacing"/>
      </w:pPr>
      <w:r>
        <w:t xml:space="preserve">Nikita Krutchev vai alterar a planificação, tendo em conta o que levou ao bloqueio. </w:t>
      </w:r>
    </w:p>
    <w:p w:rsidR="00A31320" w:rsidP="00A31320">
      <w:pPr>
        <w:pStyle w:val="NoSpacing"/>
      </w:pPr>
      <w:r>
        <w:t xml:space="preserve">Em 1959, inicia-se um novo plano que reforça o investimento nas indústrias de consumo, na habitação e na agricultura. Paralelamente, a duração do trabalho semanal reduz-se (de 48 para 42 horas), bem como a idade de reforma, que se estende, pela primeira vez aos trabalhadores agrícolas. Nas empresas procura-se incentivar a produtividade, aumentando a autonomia dos gestores e iniciando um sistema de prémios aos trabalhadores mais ativos. </w:t>
      </w:r>
    </w:p>
    <w:p w:rsidR="00A31320" w:rsidP="00A31320">
      <w:pPr>
        <w:pStyle w:val="NoSpacing"/>
      </w:pPr>
    </w:p>
    <w:p w:rsidR="00A31320" w:rsidP="00A31320">
      <w:pPr>
        <w:pStyle w:val="NoSpacing"/>
      </w:pPr>
      <w:r>
        <w:t xml:space="preserve">No entanto, estas medidas não superaram as expectativas. Na década de 70, sob a orientação de Brejnev, a burocracia reforça-se e o 9º e 10º plano voltam a dar grande prioridade ao complexo militar-industrial e à exploração dos recursos naturais (ouro, gás e petróleo da Sibéria). Porém, os custos de exploração do território siberiano revelam-se excessivos e a economia soviética entra num período de estagnação. </w:t>
      </w:r>
    </w:p>
    <w:p w:rsidR="00A31320" w:rsidP="00A31320">
      <w:pPr>
        <w:pStyle w:val="NoSpacing"/>
      </w:pPr>
      <w:r>
        <w:t xml:space="preserve">As dificuldades soviéticas refletiram-se, de forma mais ou menos graves, em todos os países satélite. </w:t>
      </w:r>
    </w:p>
    <w:p w:rsidR="006F5102" w:rsidP="006F5102">
      <w:pPr>
        <w:pStyle w:val="NoSpacing"/>
      </w:pPr>
      <w:r>
        <w:t>Embora não podendo dissociar-se da crise económica que, na década de 70, afetou o mundo industrializado, a estagnação das economias de direção central reflete, sobretudo, as faltas do sistema, que se foram agravando ao longo das décadas. Inultrapassáveis, estes bloqueios económicos conduzirão à falência dos regimes comunistas europeus, no fim dos anos 80.</w:t>
      </w:r>
    </w:p>
    <w:p w:rsidR="006F5102" w:rsidP="006F5102">
      <w:pPr>
        <w:pStyle w:val="NoSpacing"/>
      </w:pPr>
    </w:p>
    <w:p w:rsidR="006F5102" w:rsidRPr="009135F0" w:rsidP="006F5102">
      <w:pPr>
        <w:pStyle w:val="NoSpacing"/>
        <w:rPr>
          <w:color w:val="CC9900"/>
        </w:rPr>
      </w:pPr>
      <w:r w:rsidRPr="009135F0">
        <w:rPr>
          <w:color w:val="CC9900"/>
        </w:rPr>
        <w:t>A ESCALADA ARMENTISTA E O INÍCIO DA ERA ESPACIAL</w:t>
      </w:r>
    </w:p>
    <w:p w:rsidR="006F5102" w:rsidRPr="009135F0" w:rsidP="006F5102">
      <w:pPr>
        <w:pStyle w:val="NoSpacing"/>
        <w:numPr>
          <w:ilvl w:val="0"/>
          <w:numId w:val="4"/>
        </w:numPr>
        <w:rPr>
          <w:color w:val="CC9900"/>
        </w:rPr>
      </w:pPr>
      <w:r w:rsidRPr="009135F0">
        <w:rPr>
          <w:color w:val="CC9900"/>
        </w:rPr>
        <w:t>A escalada armamentista</w:t>
      </w:r>
    </w:p>
    <w:p w:rsidR="006F5102" w:rsidP="006F5102">
      <w:pPr>
        <w:pStyle w:val="NoSpacing"/>
      </w:pPr>
      <w:r>
        <w:t>Em 1945, após a Segunda Guerra Mundial só os EUA tinham a bomba atómica. Em 1949, os Russos fizeram explodir a sua primeira bomba atómica, desmoronando-se, assim, a confiança do Ocidente.</w:t>
      </w:r>
    </w:p>
    <w:p w:rsidR="006F5102" w:rsidP="006F5102">
      <w:pPr>
        <w:pStyle w:val="NoSpacing"/>
      </w:pPr>
      <w:r>
        <w:t>De imediato, os cientistas incrementaram as pesquisas de uma arma mais destrutiva</w:t>
      </w:r>
      <w:bookmarkStart w:id="0" w:name="_GoBack"/>
      <w:bookmarkEnd w:id="0"/>
      <w:r>
        <w:t xml:space="preserve">, testada em 1952 no Pacífico – a bomba de hidrogénio. </w:t>
      </w:r>
    </w:p>
    <w:p w:rsidR="006F5102" w:rsidP="006F5102">
      <w:pPr>
        <w:pStyle w:val="NoSpacing"/>
      </w:pPr>
      <w:r>
        <w:t xml:space="preserve">No ano seguinte, já a URSS tinha a bomba de hidrogénio. </w:t>
      </w:r>
    </w:p>
    <w:p w:rsidR="006F5102" w:rsidP="006F5102">
      <w:pPr>
        <w:pStyle w:val="NoSpacing"/>
      </w:pPr>
      <w:r>
        <w:t xml:space="preserve">Embora o caráter revolucionário deste novo rearmamento se encontre na produção de bombas atómicas e no desenvolvimento de mísseis de longo alcance para as lançar, o Mundo viu também multiplicarem-se as armas ditas “convencionais”. </w:t>
      </w:r>
    </w:p>
    <w:p w:rsidR="006F5102" w:rsidP="006F5102">
      <w:pPr>
        <w:pStyle w:val="NoSpacing"/>
      </w:pPr>
      <w:r>
        <w:t>O poder de destruição das novas armas introduziu na política mundial uma característica nova: a dissuasão. Cada um dos blocos procurava persuadir o outro de que usaria, sem hesitar, o seu potencial atómico em caso de violação das respetivas áreas de influência. Advertências, ameaças, movimentações de tropas e material de guerra faziam parte desta estratégia dissuasora que a natureza apocalíptica de um confronto nuclear torno eficaz. O mundo tinha resvalado, nas palavras de Churchill, para o “equilíbrio instável do terror”.</w:t>
      </w:r>
    </w:p>
    <w:p w:rsidR="006F5102" w:rsidP="006F5102">
      <w:pPr>
        <w:pStyle w:val="NoSpacing"/>
      </w:pPr>
    </w:p>
    <w:p w:rsidR="006F5102" w:rsidP="006F5102">
      <w:pPr>
        <w:pStyle w:val="NoSpacing"/>
      </w:pPr>
    </w:p>
    <w:p w:rsidR="006F5102" w:rsidRPr="006F5102" w:rsidP="006F5102">
      <w:pPr>
        <w:pStyle w:val="NoSpacing"/>
        <w:numPr>
          <w:ilvl w:val="0"/>
          <w:numId w:val="4"/>
        </w:numPr>
        <w:rPr>
          <w:color w:val="CC9900"/>
        </w:rPr>
      </w:pPr>
      <w:r w:rsidRPr="006F5102">
        <w:rPr>
          <w:color w:val="CC9900"/>
        </w:rPr>
        <w:t>O início da era espacial</w:t>
      </w:r>
    </w:p>
    <w:p w:rsidR="006F5102" w:rsidP="006F5102">
      <w:pPr>
        <w:pStyle w:val="NoSpacing"/>
      </w:pPr>
      <w:r>
        <w:t>Cientes de que a superioridade tecnológica poderia ser decisiva, as duas superpotências dedicaram grande atenção aos ramos da Ciência relacionados com o equipamento militar.</w:t>
      </w:r>
    </w:p>
    <w:p w:rsidR="006F5102" w:rsidP="006F5102">
      <w:pPr>
        <w:pStyle w:val="NoSpacing"/>
      </w:pPr>
      <w:r>
        <w:t>A URSS colocou-se à cabeça da conquista do Espaço quando, em outubro de 1957, conseguiu colocar em órbita o primeiro satélite artificial da História, o Sputnik 1. No mês seguinte, lançou o Sputnik 2, de maiores dimensões, levando a bordo a cadela Laika, que se tornou o primeiro viajante espacial.</w:t>
      </w:r>
    </w:p>
    <w:p w:rsidR="006F5102" w:rsidP="006F5102">
      <w:pPr>
        <w:pStyle w:val="NoSpacing"/>
      </w:pPr>
      <w:r>
        <w:t>Os Americanos, na ânsia de igualarem, no mesmo ano, a proeza russa, anteciparam o lançamento do seu próprio satélite, mas o foguetão que o impulsionava explodiu e a experiência foi um fiasco. Só no início de 1958, com o lançamento de Explorer 1, a América efetivaria a sua entrada na corrida ao Espaço.</w:t>
      </w:r>
    </w:p>
    <w:p w:rsidR="006F5102" w:rsidP="006F5102">
      <w:pPr>
        <w:pStyle w:val="NoSpacing"/>
      </w:pPr>
      <w:r>
        <w:t>Nos anos que se seguiram, a aventura espacial alimentou o orgulho nacional das duas nações. Nos primeiros tempos, os soviéticos mantiveram a liderança e, em 1961, fizeram de Yuri Gagarin o primeiro ser humano a viajar na órbita terrestre. No entanto, no fim da década de 60, coube aos americanos Neil Armstrong e Edwin Aldrin o feito de serem os primeiros homens a pisarem a Lua. Quando o Homem realizou o feito improvável de alcançar a Lua tornou-se evidente que essa mesma tecnologia estava a ser utilizada para a construção de armas capazes de aniquilarem toda a Humanidade.</w:t>
      </w:r>
    </w:p>
    <w:p w:rsidR="006F5102" w:rsidP="006F5102">
      <w:pPr>
        <w:pStyle w:val="NoSpacing"/>
      </w:pPr>
    </w:p>
    <w:p w:rsidR="006F5102" w:rsidP="006F5102">
      <w:pPr>
        <w:pStyle w:val="NoSpacing"/>
      </w:pPr>
    </w:p>
    <w:p w:rsidR="006F5102" w:rsidP="006F5102">
      <w:pPr>
        <w:pStyle w:val="NoSpacing"/>
      </w:pPr>
    </w:p>
    <w:p w:rsidR="006F5102" w:rsidP="006F5102">
      <w:pPr>
        <w:pStyle w:val="NoSpacing"/>
      </w:pPr>
    </w:p>
    <w:p w:rsidR="006F5102" w:rsidP="006F5102">
      <w:pPr>
        <w:pStyle w:val="NoSpacing"/>
      </w:pPr>
    </w:p>
    <w:p w:rsidR="00A31320" w:rsidP="00A31320">
      <w:pPr>
        <w:pStyle w:val="NoSpacing"/>
      </w:pPr>
    </w:p>
    <w:p w:rsidR="00A31320" w:rsidP="008C447A">
      <w:pPr>
        <w:pStyle w:val="NoSpacing"/>
      </w:pPr>
    </w:p>
    <w:p w:rsidR="008C447A" w:rsidP="008C447A">
      <w:pPr>
        <w:pStyle w:val="NoSpacing"/>
      </w:pPr>
    </w:p>
    <w:p w:rsidR="007546AB" w:rsidP="007546AB">
      <w:pPr>
        <w:pStyle w:val="NoSpacing"/>
      </w:pPr>
    </w:p>
    <w:p w:rsidR="007546AB" w:rsidP="00306715">
      <w:pPr>
        <w:pStyle w:val="NoSpacing"/>
      </w:pPr>
    </w:p>
    <w:p w:rsidR="00306715" w:rsidP="00F86A1D">
      <w:pPr>
        <w:pStyle w:val="NoSpacing"/>
      </w:pPr>
    </w:p>
    <w:p w:rsidR="00F86A1D" w:rsidRPr="00F453F3" w:rsidP="00F86A1D">
      <w:pPr>
        <w:pStyle w:val="NoSpacing"/>
      </w:pPr>
    </w:p>
    <w:sectPr>
      <w:headerReference w:type="default" r:id="rId5"/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F0" w:rsidRPr="009135F0">
    <w:pPr>
      <w:pStyle w:val="Footer"/>
      <w:jc w:val="right"/>
      <w:rPr>
        <w:rFonts w:ascii="Century Gothic" w:hAnsi="Century Gothic"/>
      </w:rPr>
    </w:pPr>
    <w:r w:rsidRPr="009135F0">
      <w:rPr>
        <w:rFonts w:ascii="Century Gothic" w:hAnsi="Century Gothic"/>
      </w:rPr>
      <w:fldChar w:fldCharType="begin"/>
    </w:r>
    <w:r w:rsidRPr="009135F0">
      <w:rPr>
        <w:rFonts w:ascii="Century Gothic" w:hAnsi="Century Gothic"/>
      </w:rPr>
      <w:instrText>PAGE   \* MERGEFORMAT</w:instrText>
    </w:r>
    <w:r w:rsidRPr="009135F0">
      <w:rPr>
        <w:rFonts w:ascii="Century Gothic" w:hAnsi="Century Gothic"/>
      </w:rPr>
      <w:fldChar w:fldCharType="separate"/>
    </w:r>
    <w:r>
      <w:rPr>
        <w:rFonts w:ascii="Century Gothic" w:hAnsi="Century Gothic"/>
        <w:noProof/>
      </w:rPr>
      <w:t>16</w:t>
    </w:r>
    <w:r w:rsidRPr="009135F0">
      <w:rPr>
        <w:rFonts w:ascii="Century Gothic" w:hAnsi="Century Gothic"/>
      </w:rPr>
      <w:fldChar w:fldCharType="end"/>
    </w:r>
  </w:p>
  <w:p w:rsidR="009135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276" w:rsidP="00EE7154">
      <w:pPr>
        <w:spacing w:line="240" w:lineRule="auto"/>
      </w:pPr>
      <w:r>
        <w:separator/>
      </w:r>
    </w:p>
  </w:footnote>
  <w:footnote w:type="continuationSeparator" w:id="1">
    <w:p w:rsidR="00454276" w:rsidP="00EE7154">
      <w:pPr>
        <w:spacing w:line="240" w:lineRule="auto"/>
      </w:pPr>
      <w:r>
        <w:continuationSeparator/>
      </w:r>
    </w:p>
  </w:footnote>
  <w:footnote w:id="2">
    <w:p w:rsidR="00FC47C7" w:rsidRPr="00FC47C7">
      <w:pPr>
        <w:pStyle w:val="FootnoteText"/>
        <w:rPr>
          <w:rFonts w:ascii="Century Gothic" w:hAnsi="Century Gothic"/>
        </w:rPr>
      </w:pPr>
      <w:r w:rsidRPr="00FC47C7">
        <w:rPr>
          <w:rStyle w:val="FootnoteReference"/>
          <w:rFonts w:ascii="Century Gothic" w:hAnsi="Century Gothic"/>
        </w:rPr>
        <w:footnoteRef/>
      </w:r>
      <w:r w:rsidRPr="00FC47C7">
        <w:rPr>
          <w:rFonts w:ascii="Century Gothic" w:hAnsi="Century Gothic"/>
        </w:rPr>
        <w:t xml:space="preserve">  Expressão utilizada para a divisão em dois da Europa: Europa Ocidental e Europa Oriental.</w:t>
      </w:r>
    </w:p>
  </w:footnote>
  <w:footnote w:id="3">
    <w:p w:rsidR="00F453F3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F453F3">
        <w:rPr>
          <w:rFonts w:ascii="Century Gothic" w:hAnsi="Century Gothic"/>
        </w:rPr>
        <w:t>Esta posição inverte a tradicional postura de isolamentos dos EUA que olharam sempre com relutância a interferência direta na política internacional.</w:t>
      </w:r>
    </w:p>
  </w:footnote>
  <w:footnote w:id="4">
    <w:p w:rsidR="006250AC" w:rsidRPr="006250AC">
      <w:pPr>
        <w:pStyle w:val="FootnoteText"/>
        <w:rPr>
          <w:rFonts w:ascii="Century Gothic" w:hAnsi="Century Gothic"/>
        </w:rPr>
      </w:pPr>
      <w:r w:rsidRPr="006250AC">
        <w:rPr>
          <w:rStyle w:val="FootnoteReference"/>
          <w:rFonts w:ascii="Century Gothic" w:hAnsi="Century Gothic"/>
        </w:rPr>
        <w:footnoteRef/>
      </w:r>
      <w:r w:rsidRPr="006250AC">
        <w:rPr>
          <w:rFonts w:ascii="Century Gothic" w:hAnsi="Century Gothic"/>
        </w:rPr>
        <w:t xml:space="preserve"> À OTAN opor-se-á o Pacto de Varsóvia, aliança militar liderada pelos soviéticos. </w:t>
      </w:r>
    </w:p>
  </w:footnote>
  <w:footnote w:id="5">
    <w:p w:rsidR="009135F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Century Gothic" w:hAnsi="Century Gothic"/>
        </w:rPr>
        <w:t>O dólar era a moeda-padrão e as restantes moedas tiveram sido convertidas em ouro ou dólar.</w:t>
      </w:r>
    </w:p>
  </w:footnote>
  <w:footnote w:id="6">
    <w:p w:rsidR="00F86A1D" w:rsidRPr="00F86A1D">
      <w:pPr>
        <w:pStyle w:val="FootnoteText"/>
        <w:rPr>
          <w:rFonts w:ascii="Century Gothic" w:hAnsi="Century Gothic"/>
        </w:rPr>
      </w:pPr>
      <w:r w:rsidRPr="00F86A1D">
        <w:rPr>
          <w:rStyle w:val="FootnoteReference"/>
          <w:rFonts w:ascii="Century Gothic" w:hAnsi="Century Gothic"/>
        </w:rPr>
        <w:footnoteRef/>
      </w:r>
      <w:r w:rsidRPr="00F86A1D">
        <w:rPr>
          <w:rFonts w:ascii="Century Gothic" w:hAnsi="Century Gothic"/>
        </w:rPr>
        <w:t xml:space="preserve"> Os efeitos do baby-boom fizeram-se sentir na década de 60, embora os seus reflexos na economia sejam muito anteriores, já que o aumento do número de jovens, para além de alargar o mercado consumidor, obriga à construção de equipamentos importantes (hospitais, creches, escolas, etc.), criando numerosos postos de trabalho.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54" w:rsidRPr="00EE7154" w:rsidP="00EE7154">
    <w:pPr>
      <w:pStyle w:val="Header"/>
      <w:jc w:val="right"/>
      <w:rPr>
        <w:rFonts w:ascii="Century Gothic" w:hAnsi="Century Gothic"/>
        <w:sz w:val="24"/>
        <w:szCs w:val="24"/>
      </w:rPr>
    </w:pPr>
    <w:r w:rsidRPr="00EE7154">
      <w:rPr>
        <w:rFonts w:ascii="Century Gothic" w:hAnsi="Century Gothic"/>
        <w:sz w:val="24"/>
        <w:szCs w:val="24"/>
      </w:rPr>
      <w:t>História A 12º Ano</w:t>
    </w:r>
  </w:p>
  <w:p w:rsidR="00EE7154" w:rsidRPr="00EE7154" w:rsidP="00EE7154">
    <w:pPr>
      <w:pStyle w:val="Header"/>
      <w:jc w:val="right"/>
      <w:rPr>
        <w:rFonts w:ascii="Century Gothic" w:hAnsi="Century Gothic"/>
        <w:sz w:val="24"/>
        <w:szCs w:val="24"/>
      </w:rPr>
    </w:pPr>
    <w:r w:rsidRPr="00EE7154">
      <w:rPr>
        <w:rFonts w:ascii="Century Gothic" w:hAnsi="Century Gothic"/>
        <w:sz w:val="24"/>
        <w:szCs w:val="24"/>
      </w:rPr>
      <w:t>17/fevereiro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41D8"/>
    <w:multiLevelType w:val="hybridMultilevel"/>
    <w:tmpl w:val="45F2D248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  <w:color w:val="CC9900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494BD0"/>
    <w:multiLevelType w:val="hybridMultilevel"/>
    <w:tmpl w:val="CB08A1E4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  <w:color w:val="CC9900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636681"/>
    <w:multiLevelType w:val="hybridMultilevel"/>
    <w:tmpl w:val="729C5E18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F35E1C"/>
    <w:multiLevelType w:val="hybridMultilevel"/>
    <w:tmpl w:val="5CCC8C42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EB751C"/>
    <w:multiLevelType w:val="hybridMultilevel"/>
    <w:tmpl w:val="F10612D0"/>
    <w:lvl w:ilvl="0">
      <w:start w:val="1"/>
      <w:numFmt w:val="decimal"/>
      <w:lvlText w:val="%1."/>
      <w:lvlJc w:val="left"/>
      <w:pPr>
        <w:ind w:left="1429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1A6CF7"/>
    <w:multiLevelType w:val="hybridMultilevel"/>
    <w:tmpl w:val="14C2C074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6012ED"/>
    <w:multiLevelType w:val="hybridMultilevel"/>
    <w:tmpl w:val="E5882182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  <w:color w:val="CC990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A1D"/>
    <w:pPr>
      <w:spacing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0672"/>
    <w:pPr>
      <w:spacing w:line="240" w:lineRule="auto"/>
    </w:pPr>
    <w:rPr>
      <w:rFonts w:ascii="Century Gothic" w:hAnsi="Century Gothic"/>
      <w:sz w:val="24"/>
    </w:rPr>
  </w:style>
  <w:style w:type="paragraph" w:styleId="Header">
    <w:name w:val="header"/>
    <w:basedOn w:val="Normal"/>
    <w:link w:val="CabealhoCarcter"/>
    <w:uiPriority w:val="99"/>
    <w:unhideWhenUsed/>
    <w:rsid w:val="00EE7154"/>
    <w:pPr>
      <w:tabs>
        <w:tab w:val="center" w:pos="4252"/>
        <w:tab w:val="right" w:pos="8504"/>
      </w:tabs>
      <w:spacing w:after="0" w:line="240" w:lineRule="auto"/>
      <w:ind w:firstLine="709"/>
      <w:jc w:val="both"/>
    </w:pPr>
  </w:style>
  <w:style w:type="character" w:customStyle="1" w:styleId="CabealhoCarcter">
    <w:name w:val="Cabeçalho Carácter"/>
    <w:basedOn w:val="DefaultParagraphFont"/>
    <w:link w:val="Header"/>
    <w:uiPriority w:val="99"/>
    <w:rsid w:val="00EE7154"/>
  </w:style>
  <w:style w:type="paragraph" w:styleId="Footer">
    <w:name w:val="footer"/>
    <w:basedOn w:val="Normal"/>
    <w:link w:val="RodapCarcter"/>
    <w:uiPriority w:val="99"/>
    <w:unhideWhenUsed/>
    <w:rsid w:val="00EE7154"/>
    <w:pPr>
      <w:tabs>
        <w:tab w:val="center" w:pos="4252"/>
        <w:tab w:val="right" w:pos="8504"/>
      </w:tabs>
      <w:spacing w:after="0" w:line="240" w:lineRule="auto"/>
      <w:ind w:firstLine="709"/>
      <w:jc w:val="both"/>
    </w:pPr>
  </w:style>
  <w:style w:type="character" w:customStyle="1" w:styleId="RodapCarcter">
    <w:name w:val="Rodapé Carácter"/>
    <w:basedOn w:val="DefaultParagraphFont"/>
    <w:link w:val="Footer"/>
    <w:uiPriority w:val="99"/>
    <w:rsid w:val="00EE7154"/>
  </w:style>
  <w:style w:type="paragraph" w:styleId="FootnoteText">
    <w:name w:val="footnote text"/>
    <w:basedOn w:val="Normal"/>
    <w:link w:val="TextodenotaderodapCarcter"/>
    <w:uiPriority w:val="99"/>
    <w:semiHidden/>
    <w:unhideWhenUsed/>
    <w:rsid w:val="00FC47C7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TextodenotaderodapCarcter">
    <w:name w:val="Texto de nota de rodapé Carácter"/>
    <w:basedOn w:val="DefaultParagraphFont"/>
    <w:link w:val="FootnoteText"/>
    <w:uiPriority w:val="99"/>
    <w:semiHidden/>
    <w:rsid w:val="00FC47C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47C7"/>
    <w:rPr>
      <w:vertAlign w:val="superscript"/>
    </w:rPr>
  </w:style>
  <w:style w:type="paragraph" w:styleId="BalloonText">
    <w:name w:val="Balloon Text"/>
    <w:basedOn w:val="Normal"/>
    <w:link w:val="TextodebaloCarcter"/>
    <w:uiPriority w:val="99"/>
    <w:semiHidden/>
    <w:unhideWhenUsed/>
    <w:rsid w:val="00FC47C7"/>
    <w:pPr>
      <w:spacing w:after="0" w:line="240" w:lineRule="auto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FC47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6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header" Target="header1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6107</Words>
  <Characters>32984</Characters>
  <Application>Microsoft Office Word</Application>
  <DocSecurity>0</DocSecurity>
  <Lines>274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2012-02-16T02:08:00Z</dcterms:created>
  <dcterms:modified xsi:type="dcterms:W3CDTF">2012-02-16T02:08:00Z</dcterms:modified>
</cp:coreProperties>
</file>