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462212" w:rsidRPr="00237E8B">
      <w:pPr>
        <w:rPr>
          <w:rFonts w:ascii="Century Gothic" w:hAnsi="Century Gothic"/>
          <w:b/>
          <w:color w:val="FF0000"/>
          <w:sz w:val="36"/>
          <w:szCs w:val="36"/>
        </w:rPr>
      </w:pPr>
      <w:r w:rsidRPr="009C2FAB">
        <w:rPr>
          <w:rFonts w:ascii="Century Gothic" w:hAnsi="Century Gothic"/>
          <w:b/>
          <w:color w:val="FF0000"/>
          <w:sz w:val="36"/>
          <w:szCs w:val="36"/>
        </w:rPr>
        <w:t>Unidade 3: A Gestão dos Recursos Hídricos</w:t>
      </w:r>
    </w:p>
    <w:p w:rsidR="00462212" w:rsidRPr="009C2FAB" w:rsidP="00462212">
      <w:pPr>
        <w:rPr>
          <w:rFonts w:ascii="Century Gothic" w:hAnsi="Century Gothic"/>
          <w:color w:val="FF0000"/>
          <w:sz w:val="28"/>
          <w:szCs w:val="28"/>
        </w:rPr>
      </w:pPr>
      <w:r w:rsidRPr="009C2FAB">
        <w:rPr>
          <w:rFonts w:ascii="Century Gothic" w:hAnsi="Century Gothic"/>
          <w:color w:val="FF0000"/>
          <w:sz w:val="28"/>
          <w:szCs w:val="28"/>
        </w:rPr>
        <w:t>A Utilização da água e os seus principais problemas</w:t>
      </w:r>
    </w:p>
    <w:p w:rsidR="00462212" w:rsidP="00462212">
      <w:pPr>
        <w:pStyle w:val="ListParagraph"/>
        <w:rPr>
          <w:rFonts w:ascii="Century Gothic" w:hAnsi="Century Gothic"/>
          <w:sz w:val="28"/>
          <w:szCs w:val="28"/>
        </w:rPr>
      </w:pPr>
    </w:p>
    <w:p w:rsidR="00462212" w:rsidRPr="009C2FAB" w:rsidP="00462212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9C2FAB">
        <w:rPr>
          <w:rFonts w:ascii="Century Gothic" w:hAnsi="Century Gothic"/>
          <w:sz w:val="24"/>
          <w:szCs w:val="24"/>
        </w:rPr>
        <w:t>Os problemas da utilização da água</w:t>
      </w:r>
    </w:p>
    <w:p w:rsidR="00462212" w:rsidRPr="009C2FAB" w:rsidP="00462212">
      <w:pPr>
        <w:ind w:firstLine="360"/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O elevado consumo de água a nível mundial está a levantar sérios problemas ao nível da sua utilização de forma sustentável, ou seja, da sua quantidade e qualidade pondo em causa a sua existência para as gerações futuras. Contudo, além do aumento da exploração dos recursos hídricos para consumo, outros problemas surgem onde se destaca a poluição da água devido:</w:t>
      </w:r>
    </w:p>
    <w:p w:rsidR="00B77B0B" w:rsidRPr="009C2FAB" w:rsidP="00B77B0B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F738BE">
        <w:rPr>
          <w:rFonts w:ascii="Century Gothic" w:hAnsi="Century Gothic"/>
          <w:b/>
          <w:sz w:val="20"/>
          <w:szCs w:val="20"/>
        </w:rPr>
        <w:t>aos efluentes domésticos</w:t>
      </w:r>
      <w:r w:rsidRPr="009C2FAB">
        <w:rPr>
          <w:rFonts w:ascii="Century Gothic" w:hAnsi="Century Gothic"/>
          <w:sz w:val="20"/>
          <w:szCs w:val="20"/>
        </w:rPr>
        <w:t xml:space="preserve"> (constituídos por sais minerais, matéria orgânica, restos de compostos que não são biodegradáveis e com quantidade e diversidade elevada de bactérias e vírus;</w:t>
      </w:r>
    </w:p>
    <w:p w:rsidR="00B77B0B" w:rsidRPr="009C2FAB" w:rsidP="00375F46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F738BE">
        <w:rPr>
          <w:rFonts w:ascii="Century Gothic" w:hAnsi="Century Gothic"/>
          <w:b/>
          <w:sz w:val="20"/>
          <w:szCs w:val="20"/>
        </w:rPr>
        <w:t>a fossas a “céu aberto”,</w:t>
      </w:r>
      <w:r w:rsidRPr="009C2FAB">
        <w:rPr>
          <w:rFonts w:ascii="Century Gothic" w:hAnsi="Century Gothic"/>
          <w:sz w:val="20"/>
          <w:szCs w:val="20"/>
        </w:rPr>
        <w:t xml:space="preserve"> sem ligação à rede de esgotos ou de menor qualidade;</w:t>
      </w:r>
    </w:p>
    <w:p w:rsidR="00B77B0B" w:rsidRPr="009C2FAB" w:rsidP="00375F46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  <w:u w:val="single"/>
        </w:rPr>
      </w:pPr>
      <w:r w:rsidRPr="00F738BE">
        <w:rPr>
          <w:rFonts w:ascii="Century Gothic" w:hAnsi="Century Gothic"/>
          <w:b/>
          <w:sz w:val="20"/>
          <w:szCs w:val="20"/>
        </w:rPr>
        <w:t>aos efluentes industriais,</w:t>
      </w:r>
      <w:r w:rsidRPr="009C2FAB">
        <w:rPr>
          <w:rFonts w:ascii="Century Gothic" w:hAnsi="Century Gothic"/>
          <w:sz w:val="20"/>
          <w:szCs w:val="20"/>
          <w:u w:val="single"/>
        </w:rPr>
        <w:t xml:space="preserve"> </w:t>
      </w:r>
      <w:r w:rsidRPr="009C2FAB">
        <w:rPr>
          <w:rFonts w:ascii="Century Gothic" w:hAnsi="Century Gothic"/>
          <w:sz w:val="20"/>
          <w:szCs w:val="20"/>
        </w:rPr>
        <w:t>podem provocar a contaminação a partir dos químicos;</w:t>
      </w:r>
    </w:p>
    <w:p w:rsidR="00B77B0B" w:rsidRPr="009C2FAB" w:rsidP="00375F46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  <w:u w:val="single"/>
        </w:rPr>
      </w:pPr>
      <w:r w:rsidRPr="00F738BE">
        <w:rPr>
          <w:rFonts w:ascii="Century Gothic" w:hAnsi="Century Gothic"/>
          <w:b/>
          <w:sz w:val="20"/>
          <w:szCs w:val="20"/>
        </w:rPr>
        <w:t>aos efluentes agropecuários,</w:t>
      </w:r>
      <w:r w:rsidRPr="009C2FAB">
        <w:rPr>
          <w:rFonts w:ascii="Century Gothic" w:hAnsi="Century Gothic"/>
          <w:sz w:val="20"/>
          <w:szCs w:val="20"/>
        </w:rPr>
        <w:t xml:space="preserve"> cuja poluição se faz sentir em solos de natureza permeável, à elevada reciclagem de águas subterrâneas em áreas de agricultura intensiva e de regadio, ao lançamento de resíduos animais para o solo, à utilização incorreta e irracional de pesticidas no solo.</w:t>
      </w:r>
    </w:p>
    <w:p w:rsidR="00AE6405" w:rsidRPr="009C2FAB" w:rsidP="00AE6405">
      <w:p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Outros processos responsáveis pelos problemas dos recursos hídricos:</w:t>
      </w:r>
    </w:p>
    <w:p w:rsidR="00AE6405" w:rsidRPr="009C2FAB" w:rsidP="00AE6405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F738BE">
        <w:rPr>
          <w:rFonts w:ascii="Century Gothic" w:hAnsi="Century Gothic"/>
          <w:b/>
          <w:sz w:val="20"/>
          <w:szCs w:val="20"/>
        </w:rPr>
        <w:t>salinização:</w:t>
      </w:r>
      <w:r w:rsidRPr="009C2FAB">
        <w:rPr>
          <w:rFonts w:ascii="Century Gothic" w:hAnsi="Century Gothic"/>
          <w:sz w:val="20"/>
          <w:szCs w:val="20"/>
        </w:rPr>
        <w:t xml:space="preserve"> ocorre sobretudo em áreas calcárias da orla costeira onde os aquíferos estão em contacto com o mar. Enquanto que a água doce escoa para o mar, esta tende penetrar nos aquíferos, levando à salinização da água dos furo ou dos poços;</w:t>
      </w:r>
    </w:p>
    <w:p w:rsidR="00FE3C97" w:rsidRPr="009C2FAB" w:rsidP="00FE3C97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F738BE">
        <w:rPr>
          <w:rFonts w:ascii="Century Gothic" w:hAnsi="Century Gothic"/>
          <w:b/>
          <w:sz w:val="20"/>
          <w:szCs w:val="20"/>
        </w:rPr>
        <w:t>eutrofização:</w:t>
      </w:r>
      <w:r w:rsidRPr="009C2FAB">
        <w:rPr>
          <w:rFonts w:ascii="Century Gothic" w:hAnsi="Century Gothic"/>
          <w:sz w:val="20"/>
          <w:szCs w:val="20"/>
        </w:rPr>
        <w:t xml:space="preserve"> surge devido ao lançamento para os rios e lagos de efluentes com elevada concentração de detritos orgânicos</w:t>
      </w:r>
    </w:p>
    <w:p w:rsidR="00FE3C97" w:rsidRPr="009C2FAB" w:rsidP="00FE3C97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F738BE">
        <w:rPr>
          <w:rFonts w:ascii="Century Gothic" w:hAnsi="Century Gothic"/>
          <w:b/>
          <w:sz w:val="20"/>
          <w:szCs w:val="20"/>
        </w:rPr>
        <w:t>desflorestação:</w:t>
      </w:r>
      <w:r w:rsidRPr="009C2FAB">
        <w:rPr>
          <w:rFonts w:ascii="Century Gothic" w:hAnsi="Century Gothic"/>
          <w:sz w:val="20"/>
          <w:szCs w:val="20"/>
        </w:rPr>
        <w:t xml:space="preserve"> conduz a um aumento do escoamento superficial e a um decréscimo da infiltração.</w:t>
      </w:r>
    </w:p>
    <w:p w:rsidR="00FE3C97" w:rsidRPr="009C2FAB" w:rsidP="00FE3C97">
      <w:pPr>
        <w:pStyle w:val="ListParagrap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pt-PT"/>
        </w:rPr>
        <w:pict>
          <v:group id="_x0000_s1025" editas="orgchart" style="height:194.8pt;margin-left:-6.35pt;margin-top:14.05pt;mso-position-horizontal-relative:char;mso-position-vertical-relative:line;position:absolute;width:405.25pt;z-index:-251655168" coordorigin="1869,5168" coordsize="7374,1878">
            <o:lock v:ext="edit" aspectratio="t"/>
            <o:diagram v:ext="edit" dgmstyle="0" dgmscalex="73568" dgmscaley="141870" dgmfontsize="13" constrainbounds="0,0,0,0">
              <o:relationtable v:ext="edit">
                <o:rel v:ext="edit" idsrc="_s1037" iddest="_s1037"/>
                <o:rel v:ext="edit" idsrc="_s1038" iddest="_s1037" idcntr="_s1036"/>
                <o:rel v:ext="edit" idsrc="_s1039" iddest="_s1037" idcntr="_s1035"/>
                <o:rel v:ext="edit" idsrc="_s1040" iddest="_s1037" idcntr="_s1034"/>
                <o:rel v:ext="edit" idsrc="_s1041" iddest="_s1038" idcntr="_s1033"/>
                <o:rel v:ext="edit" idsrc="_s1042" iddest="_s1039" idcntr="_s1032"/>
                <o:rel v:ext="edit" idsrc="_s1043" iddest="_s1039" idcntr="_s1031"/>
                <o:rel v:ext="edit" idsrc="_s1044" iddest="_s1040" idcntr="_s1030"/>
                <o:rel v:ext="edit" idsrc="_s1045" iddest="_s1044" idcntr="_s1029"/>
                <o:rel v:ext="edit" idsrc="_s1046" iddest="_s1044" idcntr="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height:1878;left:1869;position:absolute;top:5168;width:7374" o:preferrelative="f">
              <v:fill o:detectmouseclick="t"/>
              <o:lock v:ext="edit" text="t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s1028" o:spid="_x0000_s1027" type="#_x0000_t35" style="flip:x;height:405;left:6546;position:absolute;rotation:180;top:6237;width:640" o:connectortype="elbow" adj="21918,23634,203486" strokeweight="2.25pt"/>
            <v:shape id="_s1029" o:spid="_x0000_s1028" type="#_x0000_t35" style="flip:y;height:48;left:7186;position:absolute;rotation:180;top:6189;width:636" o:connectortype="elbow" adj="-10921,-3057,-248440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0" o:spid="_x0000_s1029" type="#_x0000_t34" style="height:13;left:7111;position:absolute;rotation:270;top:5978;width:163" o:connectortype="elbow" adj=",-15496650,-508500" strokeweight="2.25pt"/>
            <v:shape id="_s1031" o:spid="_x0000_s1030" type="#_x0000_t34" style="flip:x;height:833;left:5457;position:absolute;rotation:270;top:5609;width:245" o:connectortype="elbow" adj="7200,237988,-277680" strokeweight="2.25pt"/>
            <v:shape id="_s1032" o:spid="_x0000_s1031" type="#_x0000_t34" style="height:718;left:4681;position:absolute;rotation:270;top:5667;width:245" o:connectortype="elbow" adj="7200,-276390,-198920" strokeweight="2.25pt"/>
            <v:shape id="_s1033" o:spid="_x0000_s1032" type="#_x0000_t34" style="flip:x;height:61;left:2662;position:absolute;rotation:270;top:5995;width:245" o:connectortype="elbow" adj="7200,3228092,-116120" strokeweight="2.25pt"/>
            <v:shape id="_s1034" o:spid="_x0000_s1033" type="#_x0000_t34" style="flip:x;height:1653;left:6250;position:absolute;rotation:270;top:4709;width:245" o:connectortype="elbow" adj="7200,108864,-339640" strokeweight="2.25pt"/>
            <v:shape id="_s1035" o:spid="_x0000_s1034" type="#_x0000_t34" style="height:383;left:5232;position:absolute;rotation:270;top:5344;width:245" o:connectortype="elbow" adj="7200,-469124,-235360" strokeweight="2.25pt"/>
            <v:shape id="_s1036" o:spid="_x0000_s1035" type="#_x0000_t34" style="height:2792;left:4027;position:absolute;rotation:270;top:4140;width:245" o:connectortype="elbow" adj="7200,-64428,-113000" strokeweight="2.25pt"/>
            <v:roundrect id="_s1037" o:spid="_x0000_s1036" style="height:245;left:3121;position:absolute;top:5168;v-text-anchor:middle;width:4850" arcsize="10923f" o:dgmlayout="0" o:dgmnodekind="1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PROBLEMAS NA UTILIZAÇÃO DA ÁGUA</w:t>
                    </w:r>
                  </w:p>
                </w:txbxContent>
              </v:textbox>
            </v:roundrect>
            <v:roundrect id="_s1038" o:spid="_x0000_s1037" style="height:245;left:1869;position:absolute;top:5658;v-text-anchor:middle;width:1769" arcsize="10923f" o:dgmlayout="0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Consumo excessivo</w:t>
                    </w:r>
                  </w:p>
                </w:txbxContent>
              </v:textbox>
            </v:roundrect>
            <v:roundrect id="_s1039" o:spid="_x0000_s1038" style="height:245;left:4137;position:absolute;top:5658;v-text-anchor:middle;width:2051" arcsize="10923f" o:dgmlayout="0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Diminuição das reservas</w:t>
                    </w:r>
                  </w:p>
                </w:txbxContent>
              </v:textbox>
            </v:roundrect>
            <v:roundrect id="_s1040" o:spid="_x0000_s1039" style="height:245;left:6404;position:absolute;top:5658;v-text-anchor:middle;width:1589" arcsize="10923f" o:dgmlayout="0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Poluição</w:t>
                    </w:r>
                  </w:p>
                </w:txbxContent>
              </v:textbox>
            </v:roundrect>
            <v:roundrect id="_s1041" o:spid="_x0000_s1040" style="height:245;left:2152;position:absolute;top:6148;v-text-anchor:middle;width:1326" arcsize="10923f" o:dgmlayout="2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Salinização</w:t>
                    </w:r>
                  </w:p>
                </w:txbxContent>
              </v:textbox>
            </v:roundrect>
            <v:roundrect id="_s1042" o:spid="_x0000_s1041" style="height:326;left:3712;position:absolute;top:6148;v-text-anchor:middle;width:1467" arcsize="10923f" o:dgmlayout="2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Alterações climáticas</w:t>
                    </w:r>
                  </w:p>
                </w:txbxContent>
              </v:textbox>
            </v:roundrect>
            <v:roundrect id="_s1043" o:spid="_x0000_s1042" style="height:245;left:5412;position:absolute;top:6148;v-text-anchor:middle;width:1167" arcsize="10923f" o:dgmlayout="2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Desflorestação</w:t>
                    </w:r>
                  </w:p>
                </w:txbxContent>
              </v:textbox>
            </v:roundrect>
            <v:roundrect id="_s1044" o:spid="_x0000_s1043" style="height:171;left:6688;position:absolute;top:6066;v-text-anchor:middle;width:996" arcsize="10923f" o:dgmlayout="2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20"/>
                      </w:rPr>
                    </w:pPr>
                    <w:r w:rsidRPr="003976B0">
                      <w:rPr>
                        <w:rFonts w:ascii="Goudy Old Style" w:hAnsi="Goudy Old Style"/>
                        <w:sz w:val="20"/>
                      </w:rPr>
                      <w:t>Efluentes</w:t>
                    </w:r>
                  </w:p>
                </w:txbxContent>
              </v:textbox>
            </v:roundrect>
            <v:roundrect id="_s1045" o:spid="_x0000_s1044" style="height:408;left:7822;position:absolute;top:5985;v-text-anchor:middle;width:1417" arcsize="10923f" o:dgmlayout="0" o:dgmnodekind="2">
              <v:textbox inset="0,0,0,0">
                <w:txbxContent>
                  <w:p w:rsidR="00237E8B" w:rsidRPr="003976B0" w:rsidP="00237E8B">
                    <w:pPr>
                      <w:numPr>
                        <w:ilvl w:val="0"/>
                        <w:numId w:val="4"/>
                      </w:numPr>
                      <w:spacing w:after="0" w:line="240" w:lineRule="auto"/>
                      <w:rPr>
                        <w:rFonts w:ascii="Goudy Old Style" w:hAnsi="Goudy Old Style"/>
                        <w:sz w:val="19"/>
                      </w:rPr>
                    </w:pPr>
                    <w:r w:rsidRPr="003976B0">
                      <w:rPr>
                        <w:rFonts w:ascii="Goudy Old Style" w:hAnsi="Goudy Old Style"/>
                        <w:sz w:val="19"/>
                      </w:rPr>
                      <w:t>Domésticos</w:t>
                    </w:r>
                  </w:p>
                  <w:p w:rsidR="00237E8B" w:rsidRPr="003976B0" w:rsidP="00237E8B">
                    <w:pPr>
                      <w:numPr>
                        <w:ilvl w:val="0"/>
                        <w:numId w:val="4"/>
                      </w:numPr>
                      <w:spacing w:after="0" w:line="240" w:lineRule="auto"/>
                      <w:rPr>
                        <w:rFonts w:ascii="Goudy Old Style" w:hAnsi="Goudy Old Style"/>
                        <w:sz w:val="19"/>
                      </w:rPr>
                    </w:pPr>
                    <w:r w:rsidRPr="003976B0">
                      <w:rPr>
                        <w:rFonts w:ascii="Goudy Old Style" w:hAnsi="Goudy Old Style"/>
                        <w:sz w:val="19"/>
                      </w:rPr>
                      <w:t>Industriais</w:t>
                    </w:r>
                  </w:p>
                  <w:p w:rsidR="00237E8B" w:rsidRPr="003976B0" w:rsidP="00237E8B">
                    <w:pPr>
                      <w:numPr>
                        <w:ilvl w:val="0"/>
                        <w:numId w:val="4"/>
                      </w:numPr>
                      <w:spacing w:after="0" w:line="240" w:lineRule="auto"/>
                      <w:rPr>
                        <w:rFonts w:ascii="Goudy Old Style" w:hAnsi="Goudy Old Style"/>
                        <w:sz w:val="19"/>
                      </w:rPr>
                    </w:pPr>
                    <w:r w:rsidRPr="003976B0">
                      <w:rPr>
                        <w:rFonts w:ascii="Goudy Old Style" w:hAnsi="Goudy Old Style"/>
                        <w:sz w:val="19"/>
                      </w:rPr>
                      <w:t>Agropecuários</w:t>
                    </w:r>
                  </w:p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19"/>
                      </w:rPr>
                    </w:pPr>
                  </w:p>
                </w:txbxContent>
              </v:textbox>
            </v:roundrect>
            <v:roundrect id="_s1046" o:spid="_x0000_s1045" style="height:171;left:6546;position:absolute;top:6556;v-text-anchor:middle;width:1280" arcsize="10923f" o:dgmlayout="2" o:dgmnodekind="0">
              <v:textbox inset="0,0,0,0">
                <w:txbxContent>
                  <w:p w:rsidR="00237E8B" w:rsidRPr="003976B0" w:rsidP="00237E8B">
                    <w:pPr>
                      <w:jc w:val="center"/>
                      <w:rPr>
                        <w:rFonts w:ascii="Goudy Old Style" w:hAnsi="Goudy Old Style"/>
                        <w:sz w:val="19"/>
                      </w:rPr>
                    </w:pPr>
                    <w:r w:rsidRPr="003976B0">
                      <w:rPr>
                        <w:rFonts w:ascii="Goudy Old Style" w:hAnsi="Goudy Old Style"/>
                        <w:sz w:val="19"/>
                      </w:rPr>
                      <w:t>Eutrofização*</w:t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height:313;left:2011;position:absolute;top:6733;width:7086" strokecolor="white">
              <v:textbox>
                <w:txbxContent>
                  <w:p w:rsidR="00237E8B" w:rsidRPr="00BD2D64" w:rsidP="00237E8B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ascii="Goudy Old Style" w:hAnsi="Goudy Old Style"/>
                        <w:sz w:val="20"/>
                        <w:szCs w:val="20"/>
                      </w:rPr>
                      <w:t>*enriquecimento excessivo da água em matérias nutritivas. Geram a absorção exagerada de oxigénio e a consequente asfixia desse meio aquático.</w:t>
                    </w:r>
                  </w:p>
                </w:txbxContent>
              </v:textbox>
            </v:shape>
            <w10:wrap type="tight"/>
          </v:group>
        </w:pict>
      </w:r>
    </w:p>
    <w:p w:rsidR="00237E8B" w:rsidP="00FE3C97">
      <w:pPr>
        <w:rPr>
          <w:rFonts w:ascii="Century Gothic" w:hAnsi="Century Gothic"/>
          <w:sz w:val="20"/>
          <w:szCs w:val="20"/>
        </w:rPr>
      </w:pPr>
    </w:p>
    <w:p w:rsidR="00237E8B" w:rsidP="00FE3C97">
      <w:pPr>
        <w:rPr>
          <w:rFonts w:ascii="Century Gothic" w:hAnsi="Century Gothic"/>
          <w:sz w:val="20"/>
          <w:szCs w:val="20"/>
        </w:rPr>
      </w:pPr>
    </w:p>
    <w:p w:rsidR="00237E8B" w:rsidP="00FE3C97">
      <w:pPr>
        <w:rPr>
          <w:rFonts w:ascii="Century Gothic" w:hAnsi="Century Gothic"/>
          <w:sz w:val="20"/>
          <w:szCs w:val="20"/>
        </w:rPr>
      </w:pPr>
    </w:p>
    <w:p w:rsidR="00237E8B" w:rsidP="00FE3C97">
      <w:pPr>
        <w:rPr>
          <w:rFonts w:ascii="Century Gothic" w:hAnsi="Century Gothic"/>
          <w:sz w:val="20"/>
          <w:szCs w:val="20"/>
        </w:rPr>
      </w:pPr>
    </w:p>
    <w:p w:rsidR="00237E8B" w:rsidP="00FE3C97">
      <w:pPr>
        <w:rPr>
          <w:rFonts w:ascii="Century Gothic" w:hAnsi="Century Gothic"/>
          <w:sz w:val="20"/>
          <w:szCs w:val="20"/>
        </w:rPr>
      </w:pPr>
    </w:p>
    <w:p w:rsidR="009C2FAB" w:rsidP="005C4D2E">
      <w:p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 xml:space="preserve"> </w:t>
      </w:r>
    </w:p>
    <w:p w:rsidR="00BE20E0" w:rsidRPr="009C2FAB" w:rsidP="009C2FAB">
      <w:pPr>
        <w:ind w:firstLine="705"/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Ao nível da qualidade da água, tem-se verificado um aumento:</w:t>
      </w:r>
    </w:p>
    <w:p w:rsidR="00BE20E0" w:rsidRPr="009C2FAB" w:rsidP="00BE20E0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do número de estações de verificação da qualidade das águas superficiais;</w:t>
      </w:r>
    </w:p>
    <w:p w:rsidR="00BE20E0" w:rsidRPr="009C2FAB" w:rsidP="00BE20E0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do número de estações, que se distribuem pelas unidades hidrogeológicas de Portugal continental, que medem os níveis dos aquíferos e que verificam a qualidade das águas.</w:t>
      </w:r>
    </w:p>
    <w:p w:rsidR="00BE20E0" w:rsidRPr="009C2FAB" w:rsidP="00BE20E0">
      <w:pPr>
        <w:rPr>
          <w:rFonts w:ascii="Century Gothic" w:hAnsi="Century Gothic"/>
          <w:sz w:val="20"/>
          <w:szCs w:val="20"/>
        </w:rPr>
      </w:pPr>
    </w:p>
    <w:p w:rsidR="00BE20E0" w:rsidRPr="00F738BE" w:rsidP="00BE20E0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F738BE">
        <w:rPr>
          <w:rFonts w:ascii="Century Gothic" w:hAnsi="Century Gothic"/>
          <w:sz w:val="24"/>
          <w:szCs w:val="24"/>
        </w:rPr>
        <w:t>O problema do consumo e das necessidades de água</w:t>
      </w:r>
    </w:p>
    <w:p w:rsidR="00BE20E0" w:rsidRPr="009C2FAB" w:rsidP="00DD7E46">
      <w:pPr>
        <w:ind w:left="360" w:firstLine="348"/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Portugal apresenta assimetrias entre os consumos e as necessidades de água nas várias bacias hidrográficas:</w:t>
      </w:r>
    </w:p>
    <w:p w:rsidR="00DD7E46" w:rsidRPr="009C2FAB" w:rsidP="00DD7E46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>as bacias hidrográficas com maior área e com uma elevada ocupação humana são geralmente as que registam  os maiores consumos e necessidades e necessidades de água, nomeadamente a do Tejo e a do Douro;</w:t>
      </w:r>
    </w:p>
    <w:p w:rsidR="00DD7E46" w:rsidRPr="009C2FAB" w:rsidP="00DD7E46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 xml:space="preserve">a bacia o Sado, apesar de ter uma área inferior à do Guadiana, cerca de </w:t>
      </w:r>
      <w:r w:rsidRPr="009C2FAB">
        <w:rPr>
          <w:rFonts w:ascii="Century Gothic" w:hAnsi="Century Gothic"/>
          <w:sz w:val="20"/>
          <w:szCs w:val="20"/>
          <w:vertAlign w:val="superscript"/>
        </w:rPr>
        <w:t>1</w:t>
      </w:r>
      <w:r w:rsidRPr="009C2FAB">
        <w:rPr>
          <w:rFonts w:ascii="Century Gothic" w:hAnsi="Century Gothic"/>
          <w:sz w:val="20"/>
          <w:szCs w:val="20"/>
        </w:rPr>
        <w:t>/</w:t>
      </w:r>
      <w:r w:rsidRPr="009C2FAB">
        <w:rPr>
          <w:rFonts w:ascii="Century Gothic" w:hAnsi="Century Gothic"/>
          <w:sz w:val="20"/>
          <w:szCs w:val="20"/>
          <w:vertAlign w:val="subscript"/>
        </w:rPr>
        <w:t xml:space="preserve">3 , </w:t>
      </w:r>
      <w:r w:rsidRPr="009C2FAB">
        <w:rPr>
          <w:rFonts w:ascii="Century Gothic" w:hAnsi="Century Gothic"/>
          <w:sz w:val="20"/>
          <w:szCs w:val="20"/>
        </w:rPr>
        <w:t xml:space="preserve">tem um consumo e necessidade de água cerca de 3 vezes mais elevado, devido ao volume de água canalizado para a produção de termoeletricidade.  </w:t>
      </w:r>
    </w:p>
    <w:p w:rsidR="00F738BE" w:rsidP="00FB3732">
      <w:pPr>
        <w:ind w:firstLine="705"/>
        <w:rPr>
          <w:rFonts w:ascii="Century Gothic" w:hAnsi="Century Gothic"/>
          <w:sz w:val="20"/>
          <w:szCs w:val="20"/>
        </w:rPr>
      </w:pPr>
    </w:p>
    <w:p w:rsidR="00FB3732" w:rsidRPr="009C2FAB" w:rsidP="00FB3732">
      <w:pPr>
        <w:ind w:firstLine="705"/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 xml:space="preserve">Em todas as bacias hidrográficas, as necessidades de água são superiores ao seu consumo, ou seja, nem toda a população é servida pelos Sistemas de Abastecimento de Água.  </w:t>
      </w:r>
    </w:p>
    <w:p w:rsidR="00CD636F" w:rsidP="00CD636F">
      <w:pPr>
        <w:ind w:firstLine="705"/>
        <w:rPr>
          <w:rFonts w:ascii="Century Gothic" w:hAnsi="Century Gothic"/>
          <w:sz w:val="20"/>
          <w:szCs w:val="20"/>
        </w:rPr>
      </w:pPr>
      <w:r w:rsidRPr="009C2FAB">
        <w:rPr>
          <w:rFonts w:ascii="Century Gothic" w:hAnsi="Century Gothic"/>
          <w:sz w:val="20"/>
          <w:szCs w:val="20"/>
        </w:rPr>
        <w:t xml:space="preserve">Apesar da intensa exploração este recurso mineral, dos crescentes problemas ambientais e do aumento do seu consumo, um outro aspeto relevante é o abastecimento público de água pois nem toda a população tem acesso a esse serviço. Para que toda a população seja servida pela Rede Pública de Abastecimento de Água é necessária a construção de novas infraestruturas e a reabilitação das que já existem. </w:t>
      </w:r>
    </w:p>
    <w:p w:rsidR="004F26F8" w:rsidP="004F26F8">
      <w:pPr>
        <w:ind w:firstLine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Assim, as captações da água são feitas a partir das águas superficiais e subterrâneas, sendo as subterrâneas as mais frequentes (a sua localização está associada à produtividade aquífera). O maior número de captações subterrâneas localiza-se nas bacias sedimentares do Tejo e do Sado e nas orlas sedimentares Ocidental e Meridional. Nas águas superficiais, o maior número de captações surge nas albufeiras de maior dimensão, da bacia hidrográfica do Douro e do Tejo, no Maciço Antigo (onde a produtividade aquífera é menor).</w:t>
      </w:r>
    </w:p>
    <w:p w:rsidR="00742567" w:rsidP="004F304C">
      <w:pPr>
        <w:ind w:firstLine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 Noroeste e as áreas rurais registam mais problemas ao nível do abastecimento de água domiciliária</w:t>
      </w:r>
    </w:p>
    <w:p w:rsidR="004F304C" w:rsidP="004F304C">
      <w:pPr>
        <w:ind w:firstLine="705"/>
        <w:rPr>
          <w:rFonts w:ascii="Century Gothic" w:hAnsi="Century Gothic"/>
          <w:sz w:val="20"/>
          <w:szCs w:val="20"/>
        </w:rPr>
      </w:pPr>
    </w:p>
    <w:p w:rsidR="005C4D2E" w:rsidP="004F26F8">
      <w:pPr>
        <w:ind w:firstLine="705"/>
        <w:rPr>
          <w:rFonts w:ascii="Century Gothic" w:hAnsi="Century Gothic"/>
          <w:sz w:val="20"/>
          <w:szCs w:val="20"/>
        </w:rPr>
      </w:pPr>
    </w:p>
    <w:p w:rsidR="005C4D2E" w:rsidP="004F26F8">
      <w:pPr>
        <w:ind w:firstLine="705"/>
        <w:rPr>
          <w:rFonts w:ascii="Century Gothic" w:hAnsi="Century Gothic"/>
          <w:sz w:val="20"/>
          <w:szCs w:val="20"/>
        </w:rPr>
      </w:pPr>
    </w:p>
    <w:p w:rsidR="005C4D2E" w:rsidP="004F26F8">
      <w:pPr>
        <w:ind w:firstLine="705"/>
        <w:rPr>
          <w:rFonts w:ascii="Century Gothic" w:hAnsi="Century Gothic"/>
          <w:sz w:val="20"/>
          <w:szCs w:val="20"/>
        </w:rPr>
      </w:pPr>
    </w:p>
    <w:p w:rsidR="00742567" w:rsidP="004F26F8">
      <w:pPr>
        <w:ind w:firstLine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Problemas que subsistem nos sistemas de abastecimento de água:</w:t>
      </w:r>
    </w:p>
    <w:p w:rsidR="00742567" w:rsidP="00A878E2">
      <w:pPr>
        <w:ind w:left="708" w:firstLine="708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dispersão e multiplicidade de origens da água associadas a um número elevado de sistemas de pequena dimensão;</w:t>
      </w:r>
    </w:p>
    <w:p w:rsidR="00237E8B" w:rsidP="00237E8B">
      <w:pPr>
        <w:ind w:left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em algumas regiões do país, a origem da água revela problemas de quantidade e de qualidade;</w:t>
      </w:r>
    </w:p>
    <w:p w:rsidR="00237E8B" w:rsidP="00237E8B">
      <w:pPr>
        <w:ind w:left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verificam-se falhas generalizadas no abastecimento ao longo do dia.</w:t>
      </w:r>
    </w:p>
    <w:p w:rsidR="004F304C" w:rsidP="00237E8B">
      <w:pPr>
        <w:ind w:left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pt-PT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280670</wp:posOffset>
            </wp:positionV>
            <wp:extent cx="5397500" cy="4531995"/>
            <wp:effectExtent l="19050" t="0" r="0" b="0"/>
            <wp:wrapTight wrapText="bothSides">
              <wp:wrapPolygon>
                <wp:start x="-76" y="0"/>
                <wp:lineTo x="-76" y="21518"/>
                <wp:lineTo x="21575" y="21518"/>
                <wp:lineTo x="21575" y="0"/>
                <wp:lineTo x="-76" y="0"/>
              </wp:wrapPolygon>
            </wp:wrapTight>
            <wp:docPr id="1047" name="Picture 1" descr="C:\Documents and Settings\hp\Ambiente de trabalho\Sem títul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\Ambiente de trabalho\Sem título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0" t="27328" r="0" b="1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453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4F304C" w:rsidP="00237E8B">
      <w:pPr>
        <w:ind w:left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-88265</wp:posOffset>
            </wp:positionV>
            <wp:extent cx="5069205" cy="2106930"/>
            <wp:effectExtent l="19050" t="0" r="0" b="0"/>
            <wp:wrapTight wrapText="bothSides">
              <wp:wrapPolygon>
                <wp:start x="-81" y="0"/>
                <wp:lineTo x="-81" y="21483"/>
                <wp:lineTo x="21592" y="21483"/>
                <wp:lineTo x="21592" y="0"/>
                <wp:lineTo x="-81" y="0"/>
              </wp:wrapPolygon>
            </wp:wrapTight>
            <wp:docPr id="1048" name="Picture 2" descr="C:\Documents and Settings\hp\Ambiente de trabalho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\Ambiente de trabalho\2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205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762217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As autarquias são as principais gestoras dos sistemas de abastecimento de água para consumo público. Juntamente com a EPAL, estão agrupadas nas Águas de Portugal (AdP) e nos sistemas multimunicipais tendo como objetivos:</w:t>
      </w:r>
    </w:p>
    <w:p w:rsidR="00762217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garantir a qualidade;</w:t>
      </w:r>
    </w:p>
    <w:p w:rsidR="00762217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garantir a continuidade dos serviços públicos de captação;</w:t>
      </w:r>
    </w:p>
    <w:p w:rsidR="00762217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garantir o tratamento e distribuição da água para consumo público.</w:t>
      </w:r>
    </w:p>
    <w:p w:rsidR="00762217" w:rsidP="00762217">
      <w:pPr>
        <w:rPr>
          <w:rFonts w:ascii="Century Gothic" w:hAnsi="Century Gothic"/>
          <w:sz w:val="20"/>
          <w:szCs w:val="20"/>
        </w:rPr>
      </w:pPr>
    </w:p>
    <w:p w:rsidR="0084141E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Assim, o Plano Estratégico de abastecimento de Águas e de Saneamento de Águas Residuais (PEAASAR) prevê a continuidade da criação de sistemas plurimunicipais, tendo como objetivos:</w:t>
      </w:r>
    </w:p>
    <w:p w:rsidR="0084141E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servir 95% da população com sistemas públicos de abastecimento;</w:t>
      </w:r>
    </w:p>
    <w:p w:rsidR="005C29AB" w:rsidP="0076221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obter níveis adequados de qualidade do serviço;</w:t>
      </w:r>
    </w:p>
    <w:p w:rsidR="00762217" w:rsidP="005C29A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estabelecer tarifas ao consumidor final que evoluam para um intervalo compatível com a capacidade económica das populações .</w:t>
      </w:r>
    </w:p>
    <w:p w:rsidR="005C29AB" w:rsidP="005C29AB">
      <w:pPr>
        <w:rPr>
          <w:rFonts w:ascii="Century Gothic" w:hAnsi="Century Gothic"/>
          <w:sz w:val="20"/>
          <w:szCs w:val="20"/>
        </w:rPr>
      </w:pPr>
    </w:p>
    <w:p w:rsidR="005C29AB" w:rsidP="005C29A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 xml:space="preserve">A </w:t>
      </w:r>
      <w:r w:rsidRPr="005D0E59">
        <w:rPr>
          <w:rFonts w:ascii="Century Gothic" w:hAnsi="Century Gothic"/>
          <w:b/>
          <w:sz w:val="20"/>
          <w:szCs w:val="20"/>
        </w:rPr>
        <w:t>Diretiva-Quadro da Água (DQA)</w:t>
      </w:r>
      <w:r>
        <w:rPr>
          <w:rFonts w:ascii="Century Gothic" w:hAnsi="Century Gothic"/>
          <w:sz w:val="20"/>
          <w:szCs w:val="20"/>
        </w:rPr>
        <w:t xml:space="preserve"> é o principal instrumento da Política da União Europeia relativa à água. Entrou em vigor em 22 de dezembro de 2000 e estabelece um quadro de ação comunitária no domínio da política da água. Esta tem como objetivos gerais:</w:t>
      </w:r>
    </w:p>
    <w:p w:rsidR="005C29AB" w:rsidP="005C29A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a valorização , a proteção e a gestão equilibrada;</w:t>
      </w:r>
    </w:p>
    <w:p w:rsidR="005C29AB" w:rsidP="005C29A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melhoria dos estados das águas e dos ecossistemas;</w:t>
      </w:r>
    </w:p>
    <w:p w:rsidR="009F6E14" w:rsidP="00C546A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garantir as necessidades do presente e das gerações vindouras, ou seja, o desenvolvimento sustentável.</w:t>
      </w:r>
    </w:p>
    <w:p w:rsidR="00C546AF" w:rsidP="005C29AB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9F6E14" w:rsidP="00C546AF">
      <w:pPr>
        <w:ind w:firstLine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Diretiva-Quadro da Água promove também uma política de tarifação da água, visando a utilização sustentável dos recursos hídricos e o decréscimo da população, através do princípio da recuperação dos recursos. Este processo resulta:</w:t>
      </w:r>
    </w:p>
    <w:p w:rsidR="005C29AB" w:rsidP="008565E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pt-PT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9" type="#_x0000_t80" style="height:126.75pt;margin-left:11.15pt;margin-top:7.35pt;position:absolute;width:373.35pt;z-index:251658240" strokecolor="red"/>
        </w:pict>
      </w:r>
      <w:r>
        <w:rPr>
          <w:rFonts w:ascii="Century Gothic" w:hAnsi="Century Gothic"/>
          <w:noProof/>
          <w:sz w:val="20"/>
          <w:szCs w:val="20"/>
          <w:lang w:eastAsia="pt-PT"/>
        </w:rPr>
        <w:pict>
          <v:shape id="_x0000_s1050" type="#_x0000_t202" style="height:100.95pt;margin-left:33.1pt;margin-top:7.35pt;position:absolute;width:330.25pt;z-index:251659264" filled="f" stroked="f">
            <v:textbox>
              <w:txbxContent>
                <w:p w:rsidR="008565ED" w:rsidP="008565ED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ab/>
                  </w:r>
                  <w:r w:rsidRPr="00C546AF">
                    <w:rPr>
                      <w:rFonts w:ascii="Wingdings" w:hAnsi="Wingdings"/>
                      <w:color w:val="FF0000"/>
                      <w:sz w:val="20"/>
                      <w:szCs w:val="20"/>
                    </w:rPr>
                    <w:sym w:font="Wingdings" w:char="F0E0"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do Plano Nacional da Água (PNA), que abrange todo o território nacional (inclui os Planos Regionais dos Açores e da Madeira);</w:t>
                  </w:r>
                </w:p>
                <w:p w:rsidR="008565ED" w:rsidP="008565ED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ab/>
                  </w:r>
                  <w:r w:rsidRPr="00C546AF">
                    <w:rPr>
                      <w:rFonts w:ascii="Wingdings" w:hAnsi="Wingdings"/>
                      <w:color w:val="FF0000"/>
                      <w:sz w:val="20"/>
                      <w:szCs w:val="20"/>
                    </w:rPr>
                    <w:sym w:font="Wingdings" w:char="F0E0"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dos Planos de Bacia Hidrográfica (PBH), que abrangem as bacias hidrográficas .   </w:t>
                  </w:r>
                </w:p>
                <w:p w:rsidR="008565ED" w:rsidP="008565ED"/>
              </w:txbxContent>
            </v:textbox>
          </v:shape>
        </w:pict>
      </w:r>
      <w:r w:rsidR="009F6E14">
        <w:rPr>
          <w:rFonts w:ascii="Century Gothic" w:hAnsi="Century Gothic"/>
          <w:sz w:val="20"/>
          <w:szCs w:val="20"/>
        </w:rPr>
        <w:tab/>
        <w:t xml:space="preserve"> </w:t>
      </w:r>
    </w:p>
    <w:p w:rsidR="009F6E14" w:rsidRPr="00762217" w:rsidP="005C29AB">
      <w:pPr>
        <w:rPr>
          <w:rFonts w:ascii="Century Gothic" w:hAnsi="Century Gothic"/>
          <w:sz w:val="20"/>
          <w:szCs w:val="20"/>
        </w:rPr>
      </w:pPr>
    </w:p>
    <w:p w:rsidR="004F304C" w:rsidRPr="00237E8B" w:rsidP="00237E8B">
      <w:pPr>
        <w:ind w:left="705"/>
        <w:rPr>
          <w:rFonts w:ascii="Century Gothic" w:hAnsi="Century Gothic"/>
          <w:sz w:val="20"/>
          <w:szCs w:val="20"/>
        </w:rPr>
      </w:pPr>
    </w:p>
    <w:p w:rsidR="004F26F8" w:rsidP="004F26F8">
      <w:pPr>
        <w:ind w:firstLine="705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</w:t>
      </w:r>
    </w:p>
    <w:p w:rsidR="00CD636F" w:rsidRPr="009C2FAB" w:rsidP="00CD636F">
      <w:pPr>
        <w:ind w:firstLine="705"/>
        <w:rPr>
          <w:rFonts w:ascii="Century Gothic" w:hAnsi="Century Gothic"/>
          <w:sz w:val="20"/>
          <w:szCs w:val="20"/>
        </w:rPr>
      </w:pPr>
    </w:p>
    <w:p w:rsidR="00FB3732" w:rsidP="00FB3732">
      <w:pPr>
        <w:ind w:firstLine="705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>
          <v:shape id="_x0000_s1051" type="#_x0000_t202" style="height:88.5pt;margin-left:39.35pt;margin-top:19.1pt;position:absolute;width:314.65pt;z-index:251660288" stroked="f">
            <v:textbox>
              <w:txbxContent>
                <w:p w:rsidR="008565ED" w:rsidRPr="008565ED" w:rsidP="00666A0B">
                  <w:pPr>
                    <w:ind w:firstLine="708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565ED">
                    <w:rPr>
                      <w:rFonts w:ascii="Century Gothic" w:hAnsi="Century Gothic"/>
                      <w:sz w:val="20"/>
                      <w:szCs w:val="20"/>
                    </w:rPr>
                    <w:t xml:space="preserve">É a partir das opções e orientações destes que depende a gestão dos recursos hídricos, uma vez que estes visam: </w:t>
                  </w:r>
                  <w:r w:rsidRPr="00666A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melhor conhecimento das potencialidades hídricas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, </w:t>
                  </w:r>
                  <w:r w:rsidRPr="00666A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 correta e racional utilização da água</w:t>
                  </w:r>
                  <w:r w:rsidR="00666A0B">
                    <w:rPr>
                      <w:rFonts w:ascii="Century Gothic" w:hAnsi="Century Gothic"/>
                      <w:sz w:val="20"/>
                      <w:szCs w:val="20"/>
                    </w:rPr>
                    <w:t xml:space="preserve"> e o </w:t>
                  </w:r>
                  <w:r w:rsidRPr="00666A0B" w:rsidR="00666A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estabelecimento de uma estabilidade no relacionamento com Espanha</w:t>
                  </w:r>
                  <w:r w:rsidRPr="008565ED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FB3732" w:rsidRPr="00FB3732" w:rsidP="00FB3732">
      <w:pPr>
        <w:ind w:firstLine="705"/>
        <w:rPr>
          <w:rFonts w:ascii="Century Gothic" w:hAnsi="Century Gothic"/>
          <w:sz w:val="24"/>
          <w:szCs w:val="24"/>
        </w:rPr>
      </w:pPr>
    </w:p>
    <w:p w:rsidR="00C546AF" w:rsidP="00C546AF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546AF" w:rsidP="00C546AF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546AF" w:rsidP="00C546AF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546AF" w:rsidP="00C546AF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B407F4" w:rsidP="00C546AF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FE3C97" w:rsidP="00666A0B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Planos de Bacia Hidrográfica</w:t>
      </w:r>
    </w:p>
    <w:p w:rsidR="00666A0B" w:rsidP="00666A0B">
      <w:pPr>
        <w:ind w:left="360" w:firstLine="348"/>
        <w:rPr>
          <w:rFonts w:ascii="Century Gothic" w:hAnsi="Century Gothic"/>
          <w:sz w:val="20"/>
          <w:szCs w:val="20"/>
        </w:rPr>
      </w:pPr>
      <w:r w:rsidRPr="00666A0B">
        <w:rPr>
          <w:rFonts w:ascii="Century Gothic" w:hAnsi="Century Gothic"/>
          <w:sz w:val="20"/>
          <w:szCs w:val="20"/>
        </w:rPr>
        <w:t>Os Planos de Bacia Hidrográfica definem as orientações de valorização, de proteção e gestão racional e equilibrada da água no território, para uma bacia hidrográfica ou agregação de pequenas bacias (15 planos – 4 para bacias luso-espanholas e 11 para as nacionais).</w:t>
      </w:r>
    </w:p>
    <w:p w:rsidR="00666A0B" w:rsidP="00666A0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Outros planos, que têm uma importância estratégica no planeamento e são fundamentais na salvaguarda e gestão dos recursos hídricos, são os </w:t>
      </w:r>
      <w:r w:rsidRPr="005D0E59" w:rsidR="005D0E59">
        <w:rPr>
          <w:rFonts w:ascii="Century Gothic" w:hAnsi="Century Gothic"/>
          <w:b/>
          <w:sz w:val="20"/>
          <w:szCs w:val="20"/>
        </w:rPr>
        <w:t>Planos de Ordenamento de Albufeiras</w:t>
      </w:r>
      <w:r w:rsidR="005D0E59">
        <w:rPr>
          <w:rFonts w:ascii="Century Gothic" w:hAnsi="Century Gothic"/>
          <w:sz w:val="20"/>
          <w:szCs w:val="20"/>
        </w:rPr>
        <w:t>.</w:t>
      </w:r>
    </w:p>
    <w:p w:rsidR="005D0E59" w:rsidP="005D0E59">
      <w:pPr>
        <w:rPr>
          <w:rFonts w:ascii="Century Gothic" w:hAnsi="Century Gothic"/>
          <w:sz w:val="20"/>
          <w:szCs w:val="20"/>
        </w:rPr>
      </w:pPr>
    </w:p>
    <w:p w:rsidR="00B407F4" w:rsidP="005D0E59">
      <w:pPr>
        <w:rPr>
          <w:rFonts w:ascii="Century Gothic" w:hAnsi="Century Gothic"/>
          <w:sz w:val="20"/>
          <w:szCs w:val="20"/>
        </w:rPr>
      </w:pPr>
    </w:p>
    <w:p w:rsidR="005D0E59" w:rsidP="005D0E59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26424B">
        <w:rPr>
          <w:rFonts w:ascii="Century Gothic" w:hAnsi="Century Gothic"/>
          <w:sz w:val="24"/>
          <w:szCs w:val="24"/>
        </w:rPr>
        <w:t>Portugal: subscritor de convenções multilaterais</w:t>
      </w:r>
    </w:p>
    <w:p w:rsidR="0026424B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Portugal é subscritor das mais importantes Convenções multilaterais, como nos domínios:</w:t>
      </w:r>
    </w:p>
    <w:p w:rsidR="0026424B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 w:rsidRPr="00C546AF">
        <w:rPr>
          <w:rFonts w:ascii="Century Gothic" w:hAnsi="Century Gothic"/>
          <w:b/>
          <w:sz w:val="20"/>
          <w:szCs w:val="20"/>
        </w:rPr>
        <w:t>internacional</w:t>
      </w:r>
      <w:r>
        <w:rPr>
          <w:rFonts w:ascii="Century Gothic" w:hAnsi="Century Gothic"/>
          <w:sz w:val="20"/>
          <w:szCs w:val="20"/>
        </w:rPr>
        <w:t xml:space="preserve"> (a Convenção sobre a Proteção e a Utilização  dos Cursos de Água Transfronteiriços  e Lagos Internacionais – Convenção de Helsínquia);</w:t>
      </w:r>
    </w:p>
    <w:p w:rsidR="00B407F4" w:rsidP="00B407F4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 w:rsidRPr="00C546AF">
        <w:rPr>
          <w:rFonts w:ascii="Century Gothic" w:hAnsi="Century Gothic"/>
          <w:b/>
          <w:sz w:val="20"/>
          <w:szCs w:val="20"/>
        </w:rPr>
        <w:t>comunitário</w:t>
      </w:r>
      <w:r>
        <w:rPr>
          <w:rFonts w:ascii="Century Gothic" w:hAnsi="Century Gothic"/>
          <w:sz w:val="20"/>
          <w:szCs w:val="20"/>
        </w:rPr>
        <w:t xml:space="preserve"> (a Diretiva-Quadro da Água);</w:t>
      </w:r>
    </w:p>
    <w:p w:rsidR="00FF15BF" w:rsidP="00B407F4">
      <w:pPr>
        <w:ind w:left="708" w:firstLine="708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 w:rsidRPr="00C546AF">
        <w:rPr>
          <w:rFonts w:ascii="Century Gothic" w:hAnsi="Century Gothic"/>
          <w:b/>
          <w:sz w:val="20"/>
          <w:szCs w:val="20"/>
        </w:rPr>
        <w:t>bilateral</w:t>
      </w:r>
      <w:r>
        <w:rPr>
          <w:rFonts w:ascii="Century Gothic" w:hAnsi="Century Gothic"/>
          <w:sz w:val="20"/>
          <w:szCs w:val="20"/>
        </w:rPr>
        <w:t xml:space="preserve"> (os Convénios de 1964 e1968 e a Convenção sobre Cooperação para o Aproveitamento Sustentável das Águas das Bacias Hidrográficas Luso-Espanholas – Convenção de Albufeira).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</w:p>
    <w:p w:rsidR="0026424B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dependência de Portugal em relação a Espanha em termos de recursos hídricos e acarreta problemas como: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a construção de novas barragens ou a realização de transvases em Espanha;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o aumento das situações de cheias, quando as barragens do país vizinho fazem descargas volumosas, sobretudo nos períodos húmidos;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o armazenamento de água nas albufeiras espanholas, que provocam uma redução dos caudais, sobretudo em períodos de seca;</w:t>
      </w:r>
    </w:p>
    <w:p w:rsidR="005C2516" w:rsidP="00C546AF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a poluição das águas espanholas que se alastra para Portugal.</w:t>
      </w:r>
    </w:p>
    <w:p w:rsidR="00C546AF" w:rsidP="00C546AF">
      <w:pPr>
        <w:ind w:left="360" w:firstLine="348"/>
        <w:rPr>
          <w:rFonts w:ascii="Century Gothic" w:hAnsi="Century Gothic"/>
          <w:sz w:val="20"/>
          <w:szCs w:val="20"/>
        </w:rPr>
      </w:pPr>
    </w:p>
    <w:p w:rsidR="00C546AF" w:rsidP="00C546AF">
      <w:pPr>
        <w:ind w:left="360" w:firstLine="348"/>
        <w:rPr>
          <w:rFonts w:ascii="Century Gothic" w:hAnsi="Century Gothic"/>
          <w:sz w:val="20"/>
          <w:szCs w:val="20"/>
        </w:rPr>
      </w:pP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Assim, no domínio hídrico, as relações luso-espanholas têm refletido os resultados: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da assinatura e da entrada em vigor da “Convenção sobre Cooperação para a Proteção e o Aproveitamento Sustentável das Águas das Bacias Hidrográficas Luso-Espanholas”, que estipulou normas que visam a preservação e a partilha dos recursos hídricos das 5 bacias hidrográficas internacionais. Os dois países estão sujeitos a uma atuação baseada no respeito e cooperação mútuos, bem como a definirem caudais ecológicos;</w:t>
      </w:r>
    </w:p>
    <w:p w:rsidR="00FF15BF" w:rsidP="0026424B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da entrada em vigor da Diretiva-Quadro da Água.</w:t>
      </w:r>
    </w:p>
    <w:p w:rsidR="005C2516" w:rsidP="0026424B">
      <w:pPr>
        <w:ind w:left="360" w:firstLine="348"/>
        <w:rPr>
          <w:rFonts w:ascii="Century Gothic" w:hAnsi="Century Gothic"/>
          <w:sz w:val="20"/>
          <w:szCs w:val="20"/>
        </w:rPr>
      </w:pPr>
    </w:p>
    <w:p w:rsidR="00B407F4" w:rsidP="0026424B">
      <w:pPr>
        <w:ind w:left="360" w:firstLine="348"/>
        <w:rPr>
          <w:rFonts w:ascii="Century Gothic" w:hAnsi="Century Gothic"/>
          <w:sz w:val="20"/>
          <w:szCs w:val="20"/>
        </w:rPr>
      </w:pPr>
    </w:p>
    <w:p w:rsidR="005C2516" w:rsidP="005C2516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5C2516">
        <w:rPr>
          <w:rFonts w:ascii="Century Gothic" w:hAnsi="Century Gothic"/>
          <w:sz w:val="24"/>
          <w:szCs w:val="24"/>
        </w:rPr>
        <w:t>Programa Nacional para o Uso Eficiente da Água (PNUEA)</w:t>
      </w:r>
    </w:p>
    <w:p w:rsidR="005C2516" w:rsidP="005C2516">
      <w:pPr>
        <w:ind w:left="360" w:firstLine="34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 PNUEA visa um uso eficiente, racional e económico da água, bem como a preservação da sua boa qualidade ecológica através de um espírito de desenvolvimento sustentável. Este propõem-se a atingir o aumento da eficiência de utilização da água em todos os setores, assentando em quatro áreas pragmáticas:</w:t>
      </w:r>
    </w:p>
    <w:p w:rsidR="005C2516" w:rsidP="005C2516">
      <w:pPr>
        <w:pStyle w:val="ListParagraph"/>
        <w:ind w:left="1065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medição e reconversão de equipamentos de utilização da água;</w:t>
      </w:r>
    </w:p>
    <w:p w:rsidR="005C2516" w:rsidP="005C2516">
      <w:pPr>
        <w:pStyle w:val="ListParagraph"/>
        <w:ind w:left="1065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sensibilização, informação e educação;</w:t>
      </w:r>
    </w:p>
    <w:p w:rsidR="005C2516" w:rsidP="005C2516">
      <w:pPr>
        <w:pStyle w:val="ListParagraph"/>
        <w:ind w:left="1065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regulamentação e normalização;</w:t>
      </w:r>
    </w:p>
    <w:p w:rsidR="005C2516" w:rsidP="005C2516">
      <w:pPr>
        <w:pStyle w:val="ListParagraph"/>
        <w:ind w:left="1065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formação e apoio técnico.</w:t>
      </w:r>
    </w:p>
    <w:p w:rsidR="00E073E5" w:rsidP="00E073E5">
      <w:pPr>
        <w:rPr>
          <w:rFonts w:ascii="Century Gothic" w:hAnsi="Century Gothic"/>
          <w:sz w:val="20"/>
          <w:szCs w:val="20"/>
        </w:rPr>
      </w:pPr>
    </w:p>
    <w:p w:rsidR="00C546AF" w:rsidP="00E073E5">
      <w:pPr>
        <w:rPr>
          <w:rFonts w:ascii="Century Gothic" w:hAnsi="Century Gothic"/>
          <w:sz w:val="20"/>
          <w:szCs w:val="20"/>
        </w:rPr>
      </w:pPr>
    </w:p>
    <w:p w:rsidR="00C546AF" w:rsidP="00E073E5">
      <w:pPr>
        <w:rPr>
          <w:rFonts w:ascii="Century Gothic" w:hAnsi="Century Gothic"/>
          <w:sz w:val="20"/>
          <w:szCs w:val="20"/>
        </w:rPr>
      </w:pPr>
    </w:p>
    <w:p w:rsidR="00C546AF" w:rsidP="00E073E5">
      <w:pPr>
        <w:rPr>
          <w:rFonts w:ascii="Century Gothic" w:hAnsi="Century Gothic"/>
          <w:sz w:val="20"/>
          <w:szCs w:val="20"/>
        </w:rPr>
      </w:pPr>
    </w:p>
    <w:p w:rsidR="00E073E5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Eficiência da utilização da água </w:t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relaciona o consumo útil com a procura efetiva</w:t>
        <w:br/>
        <w:tab/>
        <w:tab/>
        <w:tab/>
        <w:tab/>
        <w:t xml:space="preserve">           (em %), ou seja, mede até que ponto a água</w:t>
        <w:br/>
        <w:t xml:space="preserve">                                                               captada é usada de modo otimizado para a </w:t>
        <w:br/>
        <w:t xml:space="preserve">                                                               produção com eficácia do serviço desejado nos</w:t>
        <w:br/>
        <w:t xml:space="preserve">                                                               setores agrícola, industrial e urbano.              </w:t>
      </w:r>
    </w:p>
    <w:p w:rsidR="00E073E5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Consumo útil </w:t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consumo mínimo necessário para determinado setor garantir a</w:t>
        <w:br/>
        <w:t xml:space="preserve">                             eficácia da utilização. </w:t>
      </w:r>
    </w:p>
    <w:p w:rsidR="00E073E5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Procura efetiva </w:t>
      </w:r>
      <w:r w:rsidRPr="00C546AF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 xml:space="preserve"> volume efetivamente usado, sendo igual ou superior, do consumo</w:t>
        <w:br/>
        <w:t xml:space="preserve">                                 útil.</w:t>
      </w:r>
    </w:p>
    <w:p w:rsidR="00B407F4" w:rsidP="00E073E5">
      <w:pPr>
        <w:rPr>
          <w:rFonts w:ascii="Century Gothic" w:hAnsi="Century Gothic"/>
          <w:sz w:val="20"/>
          <w:szCs w:val="20"/>
        </w:rPr>
      </w:pPr>
    </w:p>
    <w:p w:rsidR="00E9450B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E9450B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concretização do aumento do uso eficiente da água passa :</w:t>
      </w:r>
    </w:p>
    <w:p w:rsidR="00E9450B" w:rsidP="00E073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Pr="00C546AF" w:rsidR="00B407F4">
        <w:rPr>
          <w:rFonts w:ascii="Wingdings" w:hAnsi="Wingdings"/>
          <w:color w:val="FF0000"/>
          <w:sz w:val="20"/>
          <w:szCs w:val="20"/>
        </w:rPr>
        <w:sym w:font="Wingdings" w:char="F0E0"/>
      </w:r>
      <w:r>
        <w:rPr>
          <w:rFonts w:ascii="Century Gothic" w:hAnsi="Century Gothic"/>
          <w:sz w:val="20"/>
          <w:szCs w:val="20"/>
        </w:rPr>
        <w:t>na agricultura:</w:t>
      </w:r>
    </w:p>
    <w:p w:rsidR="00E9450B" w:rsidP="00E9450B">
      <w:pPr>
        <w:pStyle w:val="ListParagraph"/>
        <w:numPr>
          <w:ilvl w:val="2"/>
          <w:numId w:val="6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reutilização da água tratada;</w:t>
      </w:r>
    </w:p>
    <w:p w:rsidR="00E9450B" w:rsidP="00E9450B">
      <w:pPr>
        <w:pStyle w:val="ListParagraph"/>
        <w:numPr>
          <w:ilvl w:val="2"/>
          <w:numId w:val="6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transporte de água ser efetuado através de condutas fechadas;</w:t>
      </w:r>
    </w:p>
    <w:p w:rsidR="00E9450B" w:rsidRPr="00B407F4" w:rsidP="00B407F4">
      <w:pPr>
        <w:pStyle w:val="ListParagraph"/>
        <w:numPr>
          <w:ilvl w:val="2"/>
          <w:numId w:val="6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utilização de técnicas de rega que maximizem o aproveitamento da água.</w:t>
      </w:r>
    </w:p>
    <w:p w:rsidR="00E9450B" w:rsidRPr="00B407F4" w:rsidP="00B407F4">
      <w:pPr>
        <w:ind w:firstLine="708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</w:rPr>
        <w:sym w:font="Wingdings" w:char="F0E0"/>
      </w:r>
      <w:r w:rsidRPr="00B407F4">
        <w:rPr>
          <w:rFonts w:ascii="Century Gothic" w:hAnsi="Century Gothic"/>
          <w:sz w:val="20"/>
          <w:szCs w:val="20"/>
        </w:rPr>
        <w:t>na indústria:</w:t>
      </w:r>
    </w:p>
    <w:p w:rsidR="00E9450B" w:rsidP="00E9450B">
      <w:pPr>
        <w:pStyle w:val="ListParagraph"/>
        <w:numPr>
          <w:ilvl w:val="2"/>
          <w:numId w:val="10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utilização de técnicas que reduzam a perda de água no processo de produção;</w:t>
      </w:r>
    </w:p>
    <w:p w:rsidR="00E9450B" w:rsidRPr="00B407F4" w:rsidP="00B407F4">
      <w:pPr>
        <w:pStyle w:val="ListParagraph"/>
        <w:numPr>
          <w:ilvl w:val="2"/>
          <w:numId w:val="10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reutilização de água a partir da instalação de sistemas de tratamento de águas residuais.</w:t>
      </w:r>
    </w:p>
    <w:p w:rsidR="00E9450B" w:rsidRPr="00B407F4" w:rsidP="00B407F4">
      <w:pPr>
        <w:ind w:firstLine="708"/>
        <w:rPr>
          <w:rFonts w:ascii="Century Gothic" w:hAnsi="Century Gothic"/>
          <w:sz w:val="20"/>
          <w:szCs w:val="20"/>
        </w:rPr>
      </w:pPr>
      <w:r w:rsidRPr="00C546AF">
        <w:rPr>
          <w:rFonts w:ascii="Wingdings" w:hAnsi="Wingdings"/>
          <w:color w:val="FF0000"/>
        </w:rPr>
        <w:sym w:font="Wingdings" w:char="F0E0"/>
      </w:r>
      <w:r w:rsidRPr="00B407F4">
        <w:rPr>
          <w:rFonts w:ascii="Century Gothic" w:hAnsi="Century Gothic"/>
          <w:sz w:val="20"/>
          <w:szCs w:val="20"/>
        </w:rPr>
        <w:t>no setor urbano:</w:t>
      </w:r>
    </w:p>
    <w:p w:rsidR="00E9450B" w:rsidRPr="00B407F4" w:rsidP="00B407F4">
      <w:pPr>
        <w:rPr>
          <w:rFonts w:ascii="Century Gothic" w:hAnsi="Century Gothic"/>
          <w:sz w:val="20"/>
          <w:szCs w:val="20"/>
        </w:rPr>
      </w:pPr>
    </w:p>
    <w:p w:rsidR="00E9450B" w:rsidP="00E9450B">
      <w:pPr>
        <w:pStyle w:val="ListParagraph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regulação do volume de descarga dos autoclismos para o mínimo;</w:t>
      </w:r>
    </w:p>
    <w:p w:rsidR="00E9450B" w:rsidP="00E9450B">
      <w:pPr>
        <w:pStyle w:val="ListParagraph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reutilização da água;</w:t>
      </w:r>
    </w:p>
    <w:p w:rsidR="00E36633" w:rsidP="00E9450B">
      <w:pPr>
        <w:pStyle w:val="ListParagraph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 utilização de máquinas de lavar loiça e de roupa, em programas mais económicos;</w:t>
      </w:r>
    </w:p>
    <w:p w:rsidR="00E36633" w:rsidP="00E9450B">
      <w:pPr>
        <w:pStyle w:val="ListParagraph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 cuidado de manter os equipamentos em boas condições e salvaguardar que estes estão sempre bem fechados, para evitar perdas desnecessárias.</w:t>
      </w:r>
    </w:p>
    <w:p w:rsidR="00E073E5" w:rsidRPr="00E9450B" w:rsidP="00E9450B">
      <w:pPr>
        <w:pStyle w:val="ListParagraph"/>
        <w:ind w:left="1440"/>
        <w:rPr>
          <w:rFonts w:ascii="Century Gothic" w:hAnsi="Century Gothic"/>
          <w:sz w:val="20"/>
          <w:szCs w:val="20"/>
        </w:rPr>
      </w:pPr>
      <w:r w:rsidRPr="00E9450B">
        <w:rPr>
          <w:rFonts w:ascii="Century Gothic" w:hAnsi="Century Gothic"/>
          <w:sz w:val="20"/>
          <w:szCs w:val="20"/>
        </w:rPr>
        <w:br/>
      </w:r>
    </w:p>
    <w:p w:rsidR="00E073E5" w:rsidRPr="005C2516" w:rsidP="005C2516">
      <w:pPr>
        <w:rPr>
          <w:rFonts w:ascii="Century Gothic" w:hAnsi="Century Gothic"/>
          <w:sz w:val="20"/>
          <w:szCs w:val="20"/>
        </w:rPr>
      </w:pPr>
    </w:p>
    <w:p w:rsidR="00FE3C97" w:rsidP="00FE3C97">
      <w:pPr>
        <w:rPr>
          <w:rFonts w:ascii="Century Gothic" w:hAnsi="Century Gothic"/>
          <w:sz w:val="24"/>
          <w:szCs w:val="24"/>
        </w:rPr>
      </w:pPr>
    </w:p>
    <w:p w:rsidR="00FE3C97" w:rsidRPr="00FE3C97" w:rsidP="00FE3C97">
      <w:pPr>
        <w:rPr>
          <w:rFonts w:ascii="Century Gothic" w:hAnsi="Century Gothic"/>
          <w:sz w:val="24"/>
          <w:szCs w:val="24"/>
        </w:rPr>
      </w:pPr>
    </w:p>
    <w:p w:rsidR="00B77B0B" w:rsidP="00B77B0B">
      <w:pPr>
        <w:rPr>
          <w:rFonts w:ascii="Century Gothic" w:hAnsi="Century Gothic"/>
          <w:sz w:val="24"/>
          <w:szCs w:val="24"/>
          <w:u w:val="single"/>
        </w:rPr>
      </w:pPr>
    </w:p>
    <w:p w:rsidR="00B77B0B" w:rsidRPr="00B77B0B" w:rsidP="00B77B0B">
      <w:pPr>
        <w:rPr>
          <w:rFonts w:ascii="Century Gothic" w:hAnsi="Century Gothic"/>
          <w:sz w:val="24"/>
          <w:szCs w:val="24"/>
          <w:u w:val="single"/>
        </w:rPr>
      </w:pPr>
    </w:p>
    <w:p w:rsidR="00375F46" w:rsidP="00375F46">
      <w:pPr>
        <w:rPr>
          <w:rFonts w:ascii="Century Gothic" w:hAnsi="Century Gothic"/>
          <w:sz w:val="24"/>
          <w:szCs w:val="24"/>
        </w:rPr>
      </w:pPr>
    </w:p>
    <w:p w:rsidR="00462212" w:rsidRPr="00462212" w:rsidP="00462212">
      <w:pPr>
        <w:rPr>
          <w:rFonts w:ascii="Century Gothic" w:hAnsi="Century Gothic"/>
          <w:sz w:val="28"/>
          <w:szCs w:val="28"/>
        </w:rPr>
      </w:pPr>
    </w:p>
    <w:p w:rsidR="00462212" w:rsidRPr="00462212" w:rsidP="00462212">
      <w:pPr>
        <w:rPr>
          <w:rFonts w:ascii="Century Gothic" w:hAnsi="Century Gothic"/>
          <w:sz w:val="24"/>
          <w:szCs w:val="24"/>
        </w:rPr>
      </w:pPr>
    </w:p>
    <w:sectPr w:rsidSect="001A6E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6433"/>
    <w:multiLevelType w:val="hybridMultilevel"/>
    <w:tmpl w:val="7E88C91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55DFA"/>
    <w:multiLevelType w:val="hybridMultilevel"/>
    <w:tmpl w:val="DE9811BA"/>
    <w:lvl w:ilvl="0">
      <w:start w:val="1"/>
      <w:numFmt w:val="bullet"/>
      <w:lvlText w:val=""/>
      <w:lvlJc w:val="left"/>
      <w:pPr>
        <w:ind w:left="1065" w:hanging="360"/>
      </w:pPr>
      <w:rPr>
        <w:rFonts w:ascii="Wingdings" w:hAnsi="Wingdings" w:eastAsiaTheme="minorHAns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0000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85595"/>
    <w:multiLevelType w:val="hybridMultilevel"/>
    <w:tmpl w:val="D67CF8A0"/>
    <w:lvl w:ilvl="0">
      <w:start w:val="1"/>
      <w:numFmt w:val="bullet"/>
      <w:lvlText w:val=""/>
      <w:lvlJc w:val="left"/>
      <w:pPr>
        <w:ind w:left="1065" w:hanging="360"/>
      </w:pPr>
      <w:rPr>
        <w:rFonts w:ascii="Wingdings" w:hAnsi="Wingdings" w:eastAsiaTheme="minorHAns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1730A"/>
    <w:multiLevelType w:val="hybridMultilevel"/>
    <w:tmpl w:val="0F42B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63706"/>
    <w:multiLevelType w:val="hybridMultilevel"/>
    <w:tmpl w:val="1F72A050"/>
    <w:lvl w:ilvl="0">
      <w:start w:val="1"/>
      <w:numFmt w:val="bullet"/>
      <w:lvlText w:val=""/>
      <w:lvlJc w:val="left"/>
      <w:pPr>
        <w:ind w:left="2505" w:hanging="360"/>
      </w:pPr>
      <w:rPr>
        <w:rFonts w:ascii="Wingdings" w:hAnsi="Wingdings" w:eastAsiaTheme="minorHAnsi" w:cstheme="minorBidi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75D5276"/>
    <w:multiLevelType w:val="hybridMultilevel"/>
    <w:tmpl w:val="D222222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DA82E1F"/>
    <w:multiLevelType w:val="hybridMultilevel"/>
    <w:tmpl w:val="2F7E42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F90984"/>
    <w:multiLevelType w:val="hybridMultilevel"/>
    <w:tmpl w:val="7D0A614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0000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056C6"/>
    <w:multiLevelType w:val="hybridMultilevel"/>
    <w:tmpl w:val="D46E3E20"/>
    <w:lvl w:ilvl="0">
      <w:start w:val="1"/>
      <w:numFmt w:val="bullet"/>
      <w:lvlText w:val=""/>
      <w:lvlJc w:val="left"/>
      <w:pPr>
        <w:ind w:left="1065" w:hanging="360"/>
      </w:pPr>
      <w:rPr>
        <w:rFonts w:ascii="Wingdings" w:hAnsi="Wingdings" w:eastAsiaTheme="minorHAnsi" w:cstheme="minorBidi" w:hint="default"/>
        <w:color w:val="FF0000"/>
      </w:rPr>
    </w:lvl>
    <w:lvl w:ilvl="1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77C20C6F"/>
    <w:multiLevelType w:val="hybridMultilevel"/>
    <w:tmpl w:val="5ED68C5A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  <w:b w:val="0"/>
        <w:sz w:val="18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CC457D"/>
    <w:multiLevelType w:val="hybridMultilevel"/>
    <w:tmpl w:val="2084B79E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0000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E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212"/>
    <w:pPr>
      <w:ind w:left="720"/>
      <w:contextualSpacing/>
    </w:pPr>
  </w:style>
  <w:style w:type="paragraph" w:styleId="BalloonText">
    <w:name w:val="Balloon Text"/>
    <w:basedOn w:val="Normal"/>
    <w:link w:val="TextodebaloCarcter"/>
    <w:uiPriority w:val="99"/>
    <w:semiHidden/>
    <w:unhideWhenUsed/>
    <w:rsid w:val="004F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4F30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png"></Relationship><Relationship Id="rId5" Type="http://schemas.openxmlformats.org/officeDocument/2006/relationships/image" Target="media/image2.png"></Relationship><Relationship Id="rId6" Type="http://schemas.openxmlformats.org/officeDocument/2006/relationships/theme" Target="theme/theme1.xml"></Relationship><Relationship Id="rId7" Type="http://schemas.openxmlformats.org/officeDocument/2006/relationships/numbering" Target="numbering.xml"></Relationship><Relationship Id="rId8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1512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winhp</dc:creator>
  <cp:lastModifiedBy>winhp</cp:lastModifiedBy>
  <cp:revision>2</cp:revision>
  <dcterms:created xsi:type="dcterms:W3CDTF">2012-06-05T19:49:00Z</dcterms:created>
  <dcterms:modified xsi:type="dcterms:W3CDTF">2012-06-05T19:49:00Z</dcterms:modified>
</cp:coreProperties>
</file>