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4C37AC" w:rsidRPr="0042743F" w:rsidP="00362C9A">
      <w:pPr>
        <w:pStyle w:val="NoSpacing"/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A AFIRMAÇÃO DE NOVAS POTÊNCIAS</w:t>
      </w:r>
    </w:p>
    <w:p w:rsidR="00362C9A" w:rsidRPr="0042743F" w:rsidP="00362C9A">
      <w:pPr>
        <w:pStyle w:val="NoSpacing"/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O RÁPIDO CRESCIMENTO DO JAPÃO</w:t>
      </w:r>
    </w:p>
    <w:p w:rsidR="00362C9A" w:rsidRPr="0042743F" w:rsidP="00362C9A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Após a Segunda Guerra Mundial o Japão é um país militarmente vencido, politicamente submetido à ocupação americana, e economicamente, arrasado pela perda do vasto império colonial, destruição da marinha marcante e ruína do setor produtivo. </w:t>
      </w:r>
    </w:p>
    <w:p w:rsidR="00362C9A" w:rsidRPr="0042743F" w:rsidP="00362C9A">
      <w:pPr>
        <w:pStyle w:val="NoSpacing"/>
        <w:rPr>
          <w:rFonts w:ascii="Century Gothic" w:hAnsi="Century Gothic"/>
          <w:color w:val="FF0000"/>
          <w:szCs w:val="20"/>
        </w:rPr>
      </w:pPr>
    </w:p>
    <w:p w:rsidR="00362C9A" w:rsidRPr="0042743F" w:rsidP="00362C9A">
      <w:pPr>
        <w:pStyle w:val="NoSpacing"/>
        <w:numPr>
          <w:ilvl w:val="0"/>
          <w:numId w:val="2"/>
        </w:numPr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Os fatores de desenvolvimento</w:t>
      </w:r>
    </w:p>
    <w:p w:rsidR="00362C9A" w:rsidRPr="0042743F" w:rsidP="00362C9A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>O “milagre japonês” beneficiou de uma circunstância favorável. A ocupação americana modernizou as estruturas políticas e sociais do país e, mesmo após 1952, altura em que o Japão readquiriu a sua plena soberania, os EUA disponibilizaram importantes ajudas financeiras e técnicas que permitiram uma rápida reconstrução económica</w:t>
      </w:r>
      <w:r>
        <w:rPr>
          <w:rStyle w:val="FootnoteReference"/>
          <w:rFonts w:ascii="Century Gothic" w:hAnsi="Century Gothic"/>
          <w:szCs w:val="20"/>
        </w:rPr>
        <w:footnoteReference w:id="2"/>
      </w:r>
      <w:r w:rsidRPr="0042743F">
        <w:rPr>
          <w:rFonts w:ascii="Century Gothic" w:hAnsi="Century Gothic"/>
          <w:szCs w:val="20"/>
        </w:rPr>
        <w:t>.</w:t>
      </w:r>
    </w:p>
    <w:p w:rsidR="00362C9A" w:rsidRPr="0042743F" w:rsidP="00362C9A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 objetivo da ajuda dos EUA ao Japão era conter o comunismo. </w:t>
      </w:r>
    </w:p>
    <w:p w:rsidR="00166C11" w:rsidRPr="0042743F" w:rsidP="00362C9A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 sociedade japonesa encontrava-se assim alterada: a nobreza tivera sido abolida, o ensino estava democratizado, foi elaborada uma nova legislação sobre o trabalho (com o objetivo de aumentar a produção e onde o despedimento era facilitado, os horários estabelecidos, etc.), estimularam práticas antinatalistas (para não haver excesso de população e adaptar a mão de obra) e foi também elaborada uma nova constituição. </w:t>
      </w:r>
    </w:p>
    <w:p w:rsidR="00166C11" w:rsidRPr="0042743F" w:rsidP="00362C9A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 Governo era estável (o Partido Liberal-Democrata manteve-se ininterruptamente no Governo após 1955) possibilitando a atuação concertada entre o Governo e os grandes grupos económicos. </w:t>
      </w:r>
    </w:p>
    <w:p w:rsidR="00166C11" w:rsidRPr="0042743F" w:rsidP="00166C11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 Estado intervinha na regulação do investimento, na concessão de créditos, na proteção de empresas e do mercado nacional. Para além disso, canalizou a maior parte dos investimentos públicos para o setor produtivo, e absteve-se em matéria de legislação social, libertando os empresários nipónicos de encargos com a Previdência. </w:t>
      </w:r>
    </w:p>
    <w:p w:rsidR="00166C11" w:rsidRPr="0042743F" w:rsidP="00166C11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 mentalidade japonesa, muito diferente da do ocidente, foi um importante fator de crescimento: caracterizavam-se por ser dinâmicos e austeros, pondo acima de todos os objetivos a reconstrução da nação, sendo que os lucros foram reinvestidos continuamente e, nos primeiros anos, os trabalhadores chegavam a doar à empresa os seus pequenos aumentos de salário para promover a renovação tecnológica. </w:t>
      </w:r>
    </w:p>
    <w:p w:rsidR="00337E9A" w:rsidRPr="0042743F" w:rsidP="00166C11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Esta ligação afetiva entronca na tradição japonesa do trabalho vitalício que transforma o patrão no protetor dos seus funcionários, os quais, por sua vez, dedicam uma incondicional lealdade à empresa. </w:t>
      </w:r>
    </w:p>
    <w:p w:rsidR="00337E9A" w:rsidRPr="0042743F" w:rsidP="00166C11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Munido de mão de obra abundante e barata e de um sistema de ensino abrangente mas altamente competitivo, o Japão lançou-se à tarefa de se transformar na primeira sociedade de consumo da Ásia. </w:t>
      </w:r>
    </w:p>
    <w:p w:rsidR="00337E9A" w:rsidRPr="0042743F" w:rsidP="00166C11">
      <w:pPr>
        <w:pStyle w:val="NoSpacing"/>
        <w:rPr>
          <w:rFonts w:ascii="Century Gothic" w:hAnsi="Century Gothic"/>
          <w:szCs w:val="20"/>
        </w:rPr>
      </w:pPr>
    </w:p>
    <w:p w:rsidR="001779D7" w:rsidRPr="0042743F" w:rsidP="001779D7">
      <w:pPr>
        <w:pStyle w:val="NoSpacing"/>
        <w:numPr>
          <w:ilvl w:val="0"/>
          <w:numId w:val="2"/>
        </w:numPr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O milagre japonês</w:t>
      </w:r>
    </w:p>
    <w:p w:rsidR="001779D7" w:rsidRPr="0042743F" w:rsidP="001779D7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>Este crescimento japonês deu-se em duas etapas:</w:t>
      </w:r>
    </w:p>
    <w:p w:rsidR="001779D7" w:rsidRPr="0042743F" w:rsidP="00E55E0F">
      <w:pPr>
        <w:pStyle w:val="NoSpacing"/>
        <w:numPr>
          <w:ilvl w:val="0"/>
          <w:numId w:val="3"/>
        </w:numPr>
        <w:ind w:left="1072" w:firstLine="709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 xml:space="preserve">1955 a 1961: </w:t>
      </w:r>
      <w:r w:rsidRPr="0042743F">
        <w:rPr>
          <w:rFonts w:ascii="Century Gothic" w:hAnsi="Century Gothic"/>
          <w:szCs w:val="20"/>
        </w:rPr>
        <w:t>visou a indústria pesada (ferro, aço, máquinas, química) e bens de consumo duradouros (televisores, frigoríficos, etc.). O comércio externo acompanhou esta expansão: as exportações duplicam, assim como as importações, necessárias ao abastecimento de matérias-primas dos novos setores indu</w:t>
      </w:r>
      <w:bookmarkStart w:id="0" w:name="_GoBack"/>
      <w:bookmarkEnd w:id="0"/>
      <w:r w:rsidRPr="0042743F">
        <w:rPr>
          <w:rFonts w:ascii="Century Gothic" w:hAnsi="Century Gothic"/>
          <w:szCs w:val="20"/>
        </w:rPr>
        <w:t>striais. Neste período a produção industrial praticamente triplicou;</w:t>
      </w:r>
    </w:p>
    <w:p w:rsidR="001779D7" w:rsidRPr="0042743F" w:rsidP="00E55E0F">
      <w:pPr>
        <w:pStyle w:val="NoSpacing"/>
        <w:numPr>
          <w:ilvl w:val="0"/>
          <w:numId w:val="3"/>
        </w:numPr>
        <w:ind w:left="1072" w:firstLine="709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1966 a 1971:</w:t>
      </w:r>
      <w:r w:rsidRPr="0042743F">
        <w:rPr>
          <w:rFonts w:ascii="Century Gothic" w:hAnsi="Century Gothic"/>
          <w:szCs w:val="20"/>
        </w:rPr>
        <w:t xml:space="preserve"> a produção industrial duplicou e criaram-se novos postos de trabalho. Além do desenvolvimento dos setores clássicos, como a siderurgia, este surto de crescimento assenta, sobretudo nos novos setores como a produção de automóveis, televisores a cores, aparelhos de circuito integrado, etc. </w:t>
      </w:r>
    </w:p>
    <w:p w:rsidR="00E55E0F" w:rsidRPr="0042743F" w:rsidP="00E55E0F">
      <w:pPr>
        <w:pStyle w:val="NoSpacing"/>
        <w:ind w:left="1072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Este segundo </w:t>
      </w:r>
      <w:r w:rsidRPr="0042743F">
        <w:rPr>
          <w:rFonts w:ascii="Century Gothic" w:hAnsi="Century Gothic"/>
          <w:i/>
          <w:szCs w:val="20"/>
        </w:rPr>
        <w:t>boom</w:t>
      </w:r>
      <w:r w:rsidRPr="0042743F">
        <w:rPr>
          <w:rFonts w:ascii="Century Gothic" w:hAnsi="Century Gothic"/>
          <w:szCs w:val="20"/>
        </w:rPr>
        <w:t xml:space="preserve"> fez do Japão a terceira maior potência económica mundial, atrás dos EUA e URSS. </w:t>
      </w:r>
    </w:p>
    <w:p w:rsidR="00E55E0F" w:rsidRPr="0042743F" w:rsidP="00E55E0F">
      <w:pPr>
        <w:pStyle w:val="NoSpacing"/>
        <w:rPr>
          <w:rFonts w:ascii="Century Gothic" w:hAnsi="Century Gothic"/>
          <w:szCs w:val="20"/>
        </w:rPr>
      </w:pPr>
    </w:p>
    <w:p w:rsidR="00E55E0F" w:rsidRPr="0042743F" w:rsidP="00E55E0F">
      <w:pPr>
        <w:pStyle w:val="NoSpacing"/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O AFASTAMENTO DA CHINA DO BLOCO SOVIÉTICO</w:t>
      </w:r>
    </w:p>
    <w:p w:rsidR="00E55E0F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 comunismo chinês foi, desde logo, marcado pela personalidade carismática do seu líder, Mao Tsé-Tung, que rapidamente se elevou à condição de grande teórico marxista. </w:t>
      </w:r>
    </w:p>
    <w:p w:rsidR="00E55E0F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Ao contrário do marxismo tradicional, Mao enfatizava o papel dos camponeses, aos quais atribuía a liderança revolucionária. </w:t>
      </w:r>
    </w:p>
    <w:p w:rsidR="003B5A49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 maoísmo assumiu como objetivo a revolução total protagonizada pelas massas e não pelas estruturas do poder. </w:t>
      </w:r>
    </w:p>
    <w:p w:rsidR="003B5A49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Para isso, recorreu a grandes campanhas de natureza ideológica destinadas a consciencializar e a mobilizar as populações para as grandes transformações revolucionárias. </w:t>
      </w:r>
    </w:p>
    <w:p w:rsidR="009C66FB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Paralelamente, o líder chinês advogou sempre a humildade e a autocrítica como uma das virtudes mais estimáveis de qualquer quadro dirigente, que devia “agir de acordo com as necessidades e as aspirações das massas”. </w:t>
      </w:r>
    </w:p>
    <w:p w:rsidR="009C66FB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Face aos maus resultados económicos, Mao lança, em 1957, uma campanha de “retificação” dos erros cometidos pelo partido, cuja atuação parecia afastar-se das massas. </w:t>
      </w:r>
    </w:p>
    <w:p w:rsidR="009C66FB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Esta política, que punha em causa o modelo de desenvolvimento soviético que a China tinha adotado foi complementada, no ano seguinte, com o </w:t>
      </w:r>
      <w:r w:rsidRPr="0042743F" w:rsidR="007C6933">
        <w:rPr>
          <w:rFonts w:ascii="Century Gothic" w:hAnsi="Century Gothic"/>
          <w:szCs w:val="20"/>
          <w:u w:val="single"/>
        </w:rPr>
        <w:t>“grande salto em frente”</w:t>
      </w:r>
      <w:r w:rsidRPr="0042743F" w:rsidR="007C6933">
        <w:rPr>
          <w:rFonts w:ascii="Century Gothic" w:hAnsi="Century Gothic"/>
          <w:szCs w:val="20"/>
        </w:rPr>
        <w:t xml:space="preserve"> – um programa de remodelação e fomento económico que visava encurtar o caminho para o socialismo e “apanhar”, em 15 anos, a Inglaterra, sem quaisquer ajudas externas. </w:t>
      </w:r>
    </w:p>
    <w:p w:rsidR="00261FE0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 indústria pesada foi posta de lado e a importância passou para os campos, onde se deviam desenvolver tanto as produções agrícolas como pequenas indústrias locais, baseadas na tecnologia tradicional. </w:t>
      </w:r>
    </w:p>
    <w:p w:rsidR="00261FE0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>A produção passou a ser dirigida por um elemento do partido e a vida camponesa foi reorganizada em comunas populares, onde se estabeleceu um modo de vida comunitário. Uma nova e intensa campanha de massas procurou mobilizar os chineses para esta via original e nacionalista do socialismo, em que um país agrário se erguia através das suas “próprias forças”.</w:t>
      </w:r>
    </w:p>
    <w:p w:rsidR="00261FE0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>Mao criticava Kruchtchev pela sua política de coexistência pacífica e acusa os soviéticos de graves desvios do ideal socialista, sendo que Moscovo o critica, acusando-o de aventureirismo.</w:t>
      </w:r>
    </w:p>
    <w:p w:rsidR="002F7509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>A partir de então, a China considerava-se o único país “verdadeiramente socialista”.</w:t>
      </w:r>
    </w:p>
    <w:p w:rsidR="007C6933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No entanto, este programa apresentou resultados negativos, sendo em 1960 Mao afastado do poder. Com o fim de recuperar o poder e, também, de eliminar os seus opositores, Mao lança mais uma grande campanha de massas – a </w:t>
      </w:r>
      <w:r w:rsidRPr="0042743F" w:rsidR="00AC20C1">
        <w:rPr>
          <w:rFonts w:ascii="Century Gothic" w:hAnsi="Century Gothic"/>
          <w:szCs w:val="20"/>
          <w:u w:val="single"/>
        </w:rPr>
        <w:t>“Revolução Cultural”</w:t>
      </w:r>
      <w:r w:rsidRPr="0042743F" w:rsidR="00AC20C1">
        <w:rPr>
          <w:rFonts w:ascii="Century Gothic" w:hAnsi="Century Gothic"/>
          <w:szCs w:val="20"/>
        </w:rPr>
        <w:t xml:space="preserve"> – ideologicamente apoiada nas suas próprias “Citações...”, que, reunidas num pequeno “livro vermelho”, publica em 1964, se tornam o resumo do maoísmo.</w:t>
      </w:r>
    </w:p>
    <w:p w:rsidR="00AC20C1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Dirigido por jovens estudantes, que Mao exorta à revolta contra todas as estruturas que não correspondam à “base económica socialista”, o movimento desencadeia uma onda de excessos e de violência que coloca a China à beira da anarquia e da guerra civil, sendo necessário o recurso ao exército para repor a ordem, em 1968. </w:t>
      </w:r>
    </w:p>
    <w:p w:rsidR="00AC20C1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 “Revolução Cultural” levou a milhões de portos, perseguidos e jovens enviados, no fim do movimento, para campos de reeducação. </w:t>
      </w:r>
    </w:p>
    <w:p w:rsidR="00AC20C1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>Mao Tsé-Tung recupera assim o poder, através do seu carisma para transformar a China numa grande potência mundial, capaz de afrontar a URSS. Os seus esforços foram coroados quando, em 1971, o país entra para a ONU e substitui a República Formosa (Taiwan) no Conselho de Segurança. As intervenções dos delegados chineses nas Nações Unidas dirigiram-se frequentemente contra o “social-imperialismo” soviético, que consideravam a “principal ameaça à paz mundial”. Este confronto entre as duas potências, que se foi agravando progressivamente, abriu uma importante fissura no bloco socialista que contribuiu para esbater o estreito bipolarismo dos primeiros anos da Guerra Fria.</w:t>
      </w:r>
    </w:p>
    <w:p w:rsidR="00DD61EB" w:rsidRPr="0042743F" w:rsidP="00E55E0F">
      <w:pPr>
        <w:pStyle w:val="NoSpacing"/>
        <w:rPr>
          <w:rFonts w:ascii="Century Gothic" w:hAnsi="Century Gothic"/>
          <w:szCs w:val="20"/>
        </w:rPr>
      </w:pPr>
    </w:p>
    <w:p w:rsidR="00DD61EB" w:rsidRPr="0042743F" w:rsidP="00E55E0F">
      <w:pPr>
        <w:pStyle w:val="NoSpacing"/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A ASCENSÃO DA EUROPA</w:t>
      </w:r>
    </w:p>
    <w:p w:rsidR="00DD61EB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>Em 1946, Churchill lança o apelo ao renascentismo europeu, através de uma espécie de “Estados Unidos da Europa”.</w:t>
      </w:r>
    </w:p>
    <w:p w:rsidR="00DD61EB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Apesar dos avanços e recuos, criaram-se várias organizações europeístas, cujo objetivo visava promover encontros, debates e congressos, incrementando-se as iniciativas diplomáticas entre os futuros estados-membros. </w:t>
      </w:r>
    </w:p>
    <w:p w:rsidR="00DD61EB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>No entanto, desde o início fizeram-se sentir em todo o processo dificuldades em concertar interesses e em definir o futuro modelo político dessa Europa: os mais ousados desejavam uma Europa federalista</w:t>
      </w:r>
      <w:r>
        <w:rPr>
          <w:rStyle w:val="FootnoteReference"/>
          <w:rFonts w:ascii="Century Gothic" w:hAnsi="Century Gothic"/>
          <w:szCs w:val="20"/>
        </w:rPr>
        <w:footnoteReference w:id="3"/>
      </w:r>
      <w:r w:rsidRPr="0042743F">
        <w:rPr>
          <w:rFonts w:ascii="Century Gothic" w:hAnsi="Century Gothic"/>
          <w:szCs w:val="20"/>
        </w:rPr>
        <w:t xml:space="preserve">, outros admitiam apenas uma confederação de estados independentes. </w:t>
      </w:r>
    </w:p>
    <w:p w:rsidR="005564BA" w:rsidRPr="0042743F" w:rsidP="00E55E0F">
      <w:pPr>
        <w:pStyle w:val="NoSpacing"/>
        <w:rPr>
          <w:rFonts w:ascii="Century Gothic" w:hAnsi="Century Gothic"/>
          <w:color w:val="FF0000"/>
          <w:szCs w:val="20"/>
        </w:rPr>
      </w:pPr>
    </w:p>
    <w:p w:rsidR="005564BA" w:rsidRPr="0042743F" w:rsidP="005564BA">
      <w:pPr>
        <w:pStyle w:val="NoSpacing"/>
        <w:numPr>
          <w:ilvl w:val="0"/>
          <w:numId w:val="2"/>
        </w:numPr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Da CECA à CEE</w:t>
      </w:r>
    </w:p>
    <w:p w:rsidR="005564BA" w:rsidRPr="0042743F" w:rsidP="005564BA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 primeiro passo consistente para a cooperação Europeia resultou da declaração </w:t>
      </w:r>
      <w:r w:rsidRPr="0042743F">
        <w:rPr>
          <w:rFonts w:ascii="Century Gothic" w:hAnsi="Century Gothic"/>
          <w:i/>
          <w:szCs w:val="20"/>
        </w:rPr>
        <w:t>Schuman</w:t>
      </w:r>
      <w:r w:rsidRPr="0042743F">
        <w:rPr>
          <w:rFonts w:ascii="Century Gothic" w:hAnsi="Century Gothic"/>
          <w:szCs w:val="20"/>
        </w:rPr>
        <w:t xml:space="preserve"> (1950), que previa a cooperação entre a França e a Alemanha no domínio da produção de carvão e aço, terminando assim a rivalidade entre os dois países. </w:t>
      </w:r>
    </w:p>
    <w:p w:rsidR="005564BA" w:rsidRPr="0042743F" w:rsidP="005564BA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Desta iniciativa, resultou em 1951, a </w:t>
      </w:r>
      <w:r w:rsidRPr="0042743F">
        <w:rPr>
          <w:rFonts w:ascii="Century Gothic" w:hAnsi="Century Gothic"/>
          <w:szCs w:val="20"/>
          <w:u w:val="single"/>
        </w:rPr>
        <w:t>CECA – Comunidade Europeia do Carvão e do Aço</w:t>
      </w:r>
      <w:r w:rsidRPr="0042743F">
        <w:rPr>
          <w:rFonts w:ascii="Century Gothic" w:hAnsi="Century Gothic"/>
          <w:szCs w:val="20"/>
        </w:rPr>
        <w:t xml:space="preserve"> – a que aderiram a Alemanha, França, Itália, Bélgica, Holanda e Luxemburgo</w:t>
      </w:r>
      <w:r>
        <w:rPr>
          <w:rStyle w:val="FootnoteReference"/>
          <w:rFonts w:ascii="Century Gothic" w:hAnsi="Century Gothic"/>
          <w:szCs w:val="20"/>
        </w:rPr>
        <w:footnoteReference w:id="4"/>
      </w:r>
      <w:r w:rsidRPr="0042743F">
        <w:rPr>
          <w:rFonts w:ascii="Century Gothic" w:hAnsi="Century Gothic"/>
          <w:szCs w:val="20"/>
        </w:rPr>
        <w:t xml:space="preserve">. </w:t>
      </w:r>
    </w:p>
    <w:p w:rsidR="007C6933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 CECA estabelecia uma zona conjunta minero-siderúrgica sob a orientação de uma Alta Autoridade supranacional. </w:t>
      </w:r>
    </w:p>
    <w:p w:rsidR="00501E16" w:rsidRPr="0042743F" w:rsidP="00E55E0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Ainda que de caráter estritamente económico e limitado aos setores referidos, a CECA possibilitou a criação de uma união económica mais ampla – a </w:t>
      </w:r>
      <w:r w:rsidRPr="0042743F">
        <w:rPr>
          <w:rFonts w:ascii="Century Gothic" w:hAnsi="Century Gothic"/>
          <w:szCs w:val="20"/>
          <w:u w:val="single"/>
        </w:rPr>
        <w:t>CEE – Comunidade Económica Europeia</w:t>
      </w:r>
      <w:r w:rsidRPr="0042743F">
        <w:rPr>
          <w:rFonts w:ascii="Century Gothic" w:hAnsi="Century Gothic"/>
          <w:szCs w:val="20"/>
        </w:rPr>
        <w:t xml:space="preserve"> – criada em 1957 pelo Tratado de Roma. </w:t>
      </w:r>
    </w:p>
    <w:p w:rsidR="00E55E0F" w:rsidRPr="0042743F" w:rsidP="00501E16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 Tratado de Roma, assente pelos mesmos países da CECA é considerado o ponto de partida da atual União Europeia. Neste acordo os países signatários comprometiam-se a implementar progressivamente a livre circulação de mercadorias, de capitais e de trabalhadores, bem como a livre prestação de serviços. Previa-se também o estabelecimento de uma política comum na área da agricultura, dos transportes e da produção energética. Para este último fim foi criada a </w:t>
      </w:r>
      <w:r w:rsidRPr="0042743F">
        <w:rPr>
          <w:rFonts w:ascii="Century Gothic" w:hAnsi="Century Gothic"/>
          <w:szCs w:val="20"/>
          <w:u w:val="single"/>
        </w:rPr>
        <w:t>EURATOM – Comissão Europeia de Energia Atómica.</w:t>
      </w:r>
      <w:r w:rsidRPr="0042743F" w:rsidR="00C25195">
        <w:rPr>
          <w:rFonts w:ascii="Century Gothic" w:hAnsi="Century Gothic"/>
          <w:szCs w:val="20"/>
        </w:rPr>
        <w:t xml:space="preserve"> </w:t>
      </w:r>
    </w:p>
    <w:p w:rsidR="00C25195" w:rsidRPr="0042743F" w:rsidP="00501E16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 união aduaneira (livre circulação de mercadorias) prevista no Tratado de Roma veio a concretizar-se em 1968, traduzindo-se num aumento das trocas intercomunitárias. </w:t>
      </w:r>
    </w:p>
    <w:p w:rsidR="00C25195" w:rsidRPr="0042743F" w:rsidP="00501E16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Em 1970, a CEE era já a primeira potência comercial do mundo. </w:t>
      </w:r>
    </w:p>
    <w:p w:rsidR="00C25195" w:rsidRPr="0042743F" w:rsidP="00501E16">
      <w:pPr>
        <w:pStyle w:val="NoSpacing"/>
        <w:rPr>
          <w:rFonts w:ascii="Century Gothic" w:hAnsi="Century Gothic"/>
          <w:szCs w:val="20"/>
        </w:rPr>
      </w:pPr>
    </w:p>
    <w:p w:rsidR="00C25195" w:rsidRPr="0042743F" w:rsidP="00501E16">
      <w:pPr>
        <w:pStyle w:val="NoSpacing"/>
        <w:rPr>
          <w:rFonts w:ascii="Century Gothic" w:hAnsi="Century Gothic"/>
          <w:b/>
          <w:szCs w:val="20"/>
          <w:u w:val="single"/>
        </w:rPr>
      </w:pPr>
      <w:r w:rsidRPr="0042743F">
        <w:rPr>
          <w:rFonts w:ascii="Century Gothic" w:hAnsi="Century Gothic"/>
          <w:b/>
          <w:szCs w:val="20"/>
          <w:u w:val="single"/>
        </w:rPr>
        <w:t>Adesão à CEE:</w:t>
      </w:r>
    </w:p>
    <w:p w:rsidR="00C25195" w:rsidRPr="0042743F" w:rsidP="00501E16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1981 – Grécia </w:t>
      </w:r>
    </w:p>
    <w:p w:rsidR="00C25195" w:rsidRPr="0042743F" w:rsidP="00501E16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>1986 – Portugal e Espanha</w:t>
      </w:r>
    </w:p>
    <w:p w:rsidR="00C25195" w:rsidRPr="0042743F" w:rsidP="00501E16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>1995 – Áustria, Finlândia, Suécia</w:t>
      </w:r>
    </w:p>
    <w:p w:rsidR="00C25195" w:rsidRPr="0042743F" w:rsidP="00501E16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>2004 – Países da Europa de Leste, Polónia, Eslováquia</w:t>
      </w:r>
    </w:p>
    <w:p w:rsidR="00C25195" w:rsidRPr="0042743F" w:rsidP="00501E16">
      <w:pPr>
        <w:pStyle w:val="NoSpacing"/>
        <w:rPr>
          <w:rFonts w:ascii="Century Gothic" w:hAnsi="Century Gothic"/>
          <w:szCs w:val="20"/>
        </w:rPr>
      </w:pPr>
    </w:p>
    <w:p w:rsidR="00C25195" w:rsidRPr="0042743F" w:rsidP="00501E16">
      <w:pPr>
        <w:pStyle w:val="NoSpacing"/>
        <w:rPr>
          <w:rFonts w:ascii="Century Gothic" w:hAnsi="Century Gothic"/>
          <w:szCs w:val="20"/>
        </w:rPr>
      </w:pPr>
    </w:p>
    <w:p w:rsidR="0042743F" w:rsidP="00501E16">
      <w:pPr>
        <w:pStyle w:val="NoSpacing"/>
        <w:rPr>
          <w:rFonts w:ascii="Century Gothic" w:hAnsi="Century Gothic"/>
          <w:color w:val="FF0000"/>
          <w:szCs w:val="20"/>
        </w:rPr>
      </w:pPr>
    </w:p>
    <w:p w:rsidR="0042743F" w:rsidP="00501E16">
      <w:pPr>
        <w:pStyle w:val="NoSpacing"/>
        <w:rPr>
          <w:rFonts w:ascii="Century Gothic" w:hAnsi="Century Gothic"/>
          <w:color w:val="FF0000"/>
          <w:szCs w:val="20"/>
        </w:rPr>
      </w:pPr>
    </w:p>
    <w:p w:rsidR="0042743F" w:rsidP="00501E16">
      <w:pPr>
        <w:pStyle w:val="NoSpacing"/>
        <w:rPr>
          <w:rFonts w:ascii="Century Gothic" w:hAnsi="Century Gothic"/>
          <w:color w:val="FF0000"/>
          <w:szCs w:val="20"/>
        </w:rPr>
      </w:pPr>
    </w:p>
    <w:p w:rsidR="00C25195" w:rsidRPr="0042743F" w:rsidP="00501E16">
      <w:pPr>
        <w:pStyle w:val="NoSpacing"/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A</w:t>
      </w:r>
      <w:r w:rsidRPr="0042743F">
        <w:rPr>
          <w:rFonts w:ascii="Century Gothic" w:hAnsi="Century Gothic"/>
          <w:szCs w:val="20"/>
        </w:rPr>
        <w:t xml:space="preserve"> </w:t>
      </w:r>
      <w:r w:rsidRPr="0042743F">
        <w:rPr>
          <w:rFonts w:ascii="Century Gothic" w:hAnsi="Century Gothic"/>
          <w:color w:val="FF0000"/>
          <w:szCs w:val="20"/>
        </w:rPr>
        <w:t>SEGUNDA VAGA DE DESCOLONIZAÇÕES. A POLÍTICA DE NÃO-ALINHAMENTO</w:t>
      </w:r>
    </w:p>
    <w:p w:rsidR="00C25195" w:rsidRPr="0042743F" w:rsidP="00501E16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Desde 1945 a 1965 os países de África tornaram-se independentes, à exceção das colónias portuguesas que só depois de 65 se tornaram independentes de forma violenta. </w:t>
      </w:r>
    </w:p>
    <w:p w:rsidR="00E537FA" w:rsidRPr="0042743F" w:rsidP="00501E16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Realizaram-se </w:t>
      </w:r>
      <w:r w:rsidRPr="0042743F">
        <w:rPr>
          <w:rFonts w:ascii="Century Gothic" w:hAnsi="Century Gothic"/>
          <w:szCs w:val="20"/>
          <w:u w:val="single"/>
        </w:rPr>
        <w:t>movimentos nacionalistas</w:t>
      </w:r>
      <w:r w:rsidRPr="0042743F">
        <w:rPr>
          <w:rFonts w:ascii="Century Gothic" w:hAnsi="Century Gothic"/>
          <w:szCs w:val="20"/>
        </w:rPr>
        <w:t>, que defendem a autodeterminação dos territórios.</w:t>
      </w:r>
    </w:p>
    <w:p w:rsidR="00E537FA" w:rsidRPr="0042743F" w:rsidP="00501E16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Frequentemente estes movimentos têm dificuldade em promover a coesão e a participação das populações pois estas encontram-se divididas por uma multiplicidade de etnias que os interesses do colonialismo não respeitaram. Com o fim de criarem um sentimento de identidade nacional e de fazerem reviver o orgulho perdido, os líderes nacionalistas promovem a revalorização das raízes ancestrais do seu povo, a sua cultura comum, difundindo a ideia de que ela é tao válida como a civilização dos europeus colonizadores. </w:t>
      </w:r>
    </w:p>
    <w:p w:rsidR="00BC3B01" w:rsidRPr="0042743F" w:rsidP="00BC3B01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Muitos destes líderes foram educados nas metrópoles, onde assimilaram valores de liberdade e de justiça social que pretendem transpor para os seus países. A luta pela independência, assume, assim, a dupla vertente de uma luta politica e de uma luta contra a pobreza e o atraso económico, vistos como consequência direta da exploração colonial. Foi em parte, por esta razão que muitos movimentos de libertação se deixaram reduzir pela mensagem igualitária do socialismo. </w:t>
      </w:r>
    </w:p>
    <w:p w:rsidR="00BC3B01" w:rsidRPr="0042743F" w:rsidP="00BC3B01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 processo independentista contou com o apoio da ONU, que, honrando os ideais de igualdade e justiça que presidiram à sua fundação, se colocou do lado dos povos dominados. </w:t>
      </w:r>
    </w:p>
    <w:p w:rsidR="00BC3B01" w:rsidRPr="0042743F" w:rsidP="00BC3B01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Em 1960, a Assembleia-Geral aprovou a </w:t>
      </w:r>
      <w:r w:rsidRPr="0042743F">
        <w:rPr>
          <w:rFonts w:ascii="Century Gothic" w:hAnsi="Century Gothic"/>
          <w:szCs w:val="20"/>
          <w:u w:val="single"/>
        </w:rPr>
        <w:t>Resolução 1514</w:t>
      </w:r>
      <w:r w:rsidRPr="0042743F">
        <w:rPr>
          <w:rFonts w:ascii="Century Gothic" w:hAnsi="Century Gothic"/>
          <w:szCs w:val="20"/>
        </w:rPr>
        <w:t>, que defendia a autodeterminação dos territórios e condenava o uso de qualquer ação armada das metrópoles, no sentido de a impedir.</w:t>
      </w:r>
    </w:p>
    <w:p w:rsidR="00BC3B01" w:rsidRPr="0042743F" w:rsidP="00BC3B01">
      <w:pPr>
        <w:pStyle w:val="NoSpacing"/>
        <w:rPr>
          <w:rFonts w:ascii="Century Gothic" w:hAnsi="Century Gothic"/>
          <w:szCs w:val="20"/>
        </w:rPr>
      </w:pPr>
    </w:p>
    <w:p w:rsidR="00BC3B01" w:rsidRPr="0042743F" w:rsidP="00BC3B01">
      <w:pPr>
        <w:pStyle w:val="NoSpacing"/>
        <w:numPr>
          <w:ilvl w:val="0"/>
          <w:numId w:val="2"/>
        </w:numPr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Um Terceiro Mundo</w:t>
      </w:r>
    </w:p>
    <w:p w:rsidR="00BC3B01" w:rsidRPr="0042743F" w:rsidP="00BC3B01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 Terceiro Mundo era constituído por áreas que foram descolonizadas e consideradas as mais pobres e populosas. </w:t>
      </w:r>
    </w:p>
    <w:p w:rsidR="00AE051B" w:rsidRPr="0042743F" w:rsidP="00BC3B01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Geograficamente abrangiam o continente africano e asiático. </w:t>
      </w:r>
    </w:p>
    <w:p w:rsidR="006E434E" w:rsidRPr="0042743F" w:rsidP="00BC3B01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Estes países eram vítimas do </w:t>
      </w:r>
      <w:r w:rsidRPr="0042743F">
        <w:rPr>
          <w:rFonts w:ascii="Century Gothic" w:hAnsi="Century Gothic"/>
          <w:szCs w:val="20"/>
          <w:u w:val="single"/>
        </w:rPr>
        <w:t>neocolonialismo</w:t>
      </w:r>
      <w:r w:rsidRPr="0042743F">
        <w:rPr>
          <w:rFonts w:ascii="Century Gothic" w:hAnsi="Century Gothic"/>
          <w:szCs w:val="20"/>
        </w:rPr>
        <w:t xml:space="preserve">, ou seja, embora não houvesse domínio político, estavam sob a dependência económica dos países ricos. Estes países, continuaram a explorar, através de grandes companhias, as matérias-primas, mineiras e agrícolas do mundo subdesenvolvido, fornecendo-lhes, como no passado, produtos manufaturados. </w:t>
      </w:r>
    </w:p>
    <w:p w:rsidR="006E434E" w:rsidRPr="0042743F" w:rsidP="00BC3B01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Tal situação atrasou estas regiões: por um lado, os lucros das companhas não são reinvestidos no local; por outro, enquanto os preços dos produtos industriais aumentam, o valor das matérias-primas decresce. Assim, estes dois fatores resultam na exploração dos recursos dos países economicamente mais deficitários, em benefício das potências industrializadas. </w:t>
      </w:r>
    </w:p>
    <w:p w:rsidR="00AC40C3" w:rsidRPr="0042743F" w:rsidP="00BC3B01">
      <w:pPr>
        <w:pStyle w:val="NoSpacing"/>
        <w:rPr>
          <w:rFonts w:ascii="Century Gothic" w:hAnsi="Century Gothic"/>
          <w:szCs w:val="20"/>
        </w:rPr>
      </w:pPr>
    </w:p>
    <w:p w:rsidR="00AC40C3" w:rsidRPr="0042743F" w:rsidP="00AC40C3">
      <w:pPr>
        <w:pStyle w:val="NoSpacing"/>
        <w:numPr>
          <w:ilvl w:val="0"/>
          <w:numId w:val="2"/>
        </w:numPr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A política de não-alinhamento</w:t>
      </w:r>
    </w:p>
    <w:p w:rsidR="00AC40C3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Cientes dos seus interesses comuns, os países saídos da descolonização cedo se esforçaram por estreitar os laços que os unem e por marcar posição na política internacional. </w:t>
      </w:r>
    </w:p>
    <w:p w:rsidR="00AC40C3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Assim, em 1955 realiza-se uma </w:t>
      </w:r>
      <w:r w:rsidRPr="0042743F">
        <w:rPr>
          <w:rFonts w:ascii="Century Gothic" w:hAnsi="Century Gothic"/>
          <w:szCs w:val="20"/>
          <w:u w:val="single"/>
        </w:rPr>
        <w:t>conferência</w:t>
      </w:r>
      <w:r w:rsidRPr="0042743F">
        <w:rPr>
          <w:rFonts w:ascii="Century Gothic" w:hAnsi="Century Gothic"/>
          <w:szCs w:val="20"/>
        </w:rPr>
        <w:t xml:space="preserve">, em </w:t>
      </w:r>
      <w:r w:rsidRPr="0042743F">
        <w:rPr>
          <w:rFonts w:ascii="Century Gothic" w:hAnsi="Century Gothic"/>
          <w:szCs w:val="20"/>
          <w:u w:val="single"/>
        </w:rPr>
        <w:t>Bandung</w:t>
      </w:r>
      <w:r w:rsidRPr="0042743F">
        <w:rPr>
          <w:rFonts w:ascii="Century Gothic" w:hAnsi="Century Gothic"/>
          <w:szCs w:val="20"/>
        </w:rPr>
        <w:t xml:space="preserve"> (Indonésia), com um conjunto de países asiáticos (Índia, Indonésia, Birmânia, Ceilão, Paquistão) tendo como objetivo definir as linhas gerais de atuação dos países recém-formados. </w:t>
      </w:r>
    </w:p>
    <w:p w:rsidR="00AC40C3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Apesar das disparidades ideológicas dos países intervenientes, foi possível adotar um conjunto de princípios, que, registados nos dez pontos do </w:t>
      </w:r>
      <w:r w:rsidRPr="0042743F">
        <w:rPr>
          <w:rFonts w:ascii="Century Gothic" w:hAnsi="Century Gothic"/>
          <w:i/>
          <w:szCs w:val="20"/>
        </w:rPr>
        <w:t>Comunicado Final</w:t>
      </w:r>
      <w:r w:rsidRPr="0042743F">
        <w:rPr>
          <w:rFonts w:ascii="Century Gothic" w:hAnsi="Century Gothic"/>
          <w:szCs w:val="20"/>
        </w:rPr>
        <w:t xml:space="preserve">, definem as posições políticas do Terceiro Mundo: condenação do colonialismo, rejeição da política de blocos, apela à resolução pacífica dos diferentes internacionais. </w:t>
      </w:r>
    </w:p>
    <w:p w:rsidR="00AC40C3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Embora não tenha tomado medidas práticas, esta conferência teve um efeito notável no processo descolonizador: foi o ponto de partida para a afirmação dos países descolonizados. </w:t>
      </w:r>
    </w:p>
    <w:p w:rsidR="00AC40C3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 mensagem da conferência foi tomando corpo através de sucessivos encontros internacionais que deram origem ao </w:t>
      </w:r>
      <w:r w:rsidRPr="0042743F">
        <w:rPr>
          <w:rFonts w:ascii="Century Gothic" w:hAnsi="Century Gothic"/>
          <w:szCs w:val="20"/>
          <w:u w:val="single"/>
        </w:rPr>
        <w:t>Movimento dos Não-Alinhados</w:t>
      </w:r>
      <w:r w:rsidRPr="0042743F">
        <w:rPr>
          <w:rFonts w:ascii="Century Gothic" w:hAnsi="Century Gothic"/>
          <w:szCs w:val="20"/>
        </w:rPr>
        <w:t xml:space="preserve">, criado oficialmente na </w:t>
      </w:r>
      <w:r w:rsidRPr="0042743F">
        <w:rPr>
          <w:rFonts w:ascii="Century Gothic" w:hAnsi="Century Gothic"/>
          <w:szCs w:val="20"/>
          <w:u w:val="single"/>
        </w:rPr>
        <w:t>Conferência de Belgrado</w:t>
      </w:r>
      <w:r w:rsidRPr="0042743F">
        <w:rPr>
          <w:rFonts w:ascii="Century Gothic" w:hAnsi="Century Gothic"/>
          <w:szCs w:val="20"/>
        </w:rPr>
        <w:t xml:space="preserve">, em 1961 (Nehru, Nasser e Tito foram os seus grandes promotores, empenhando-se no estabelecimento de uma via política alternativa à bipolarização mundial). </w:t>
      </w:r>
    </w:p>
    <w:p w:rsidR="00D73C8E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 não-alinhamento atraiu um número crescente de países da Ásia, da África e da América e tornou-se o símbolo de sonho de independência e de liberdade das nações mais frágeis face Às pressões das superpotências e do mundo desenvolvido em geral. </w:t>
      </w:r>
    </w:p>
    <w:p w:rsidR="00D73C8E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Este movimento propunha-se a defender “uma política ativa, positiva e construtiva” com vista ao estabelecimento da paz mundial. </w:t>
      </w:r>
    </w:p>
    <w:p w:rsidR="00D73C8E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Na prática, a atuação política do movimento revestiu sobretudo a forma de uma luta contra o colonialismo. </w:t>
      </w:r>
    </w:p>
    <w:p w:rsidR="00D73C8E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É este grupo que na década de 60 e 70 transforma a Assembleia-Geral da ONU numa tribuna, onde se debatem e se condenam as atuações dos Franceses na Argélia, dos Portugueses em Angola e Moçambique, ou dos Americanos no Vietname. </w:t>
      </w:r>
    </w:p>
    <w:p w:rsidR="00D73C8E" w:rsidRPr="0042743F" w:rsidP="00AC40C3">
      <w:pPr>
        <w:pStyle w:val="NoSpacing"/>
        <w:rPr>
          <w:rFonts w:ascii="Century Gothic" w:hAnsi="Century Gothic"/>
          <w:szCs w:val="20"/>
        </w:rPr>
      </w:pPr>
    </w:p>
    <w:p w:rsidR="00D73C8E" w:rsidRPr="0042743F" w:rsidP="00AC40C3">
      <w:pPr>
        <w:pStyle w:val="NoSpacing"/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 xml:space="preserve">O TERMO DE PROSPERIDADE ECONÓMICA: ORIGENS E EFEITOS </w:t>
      </w:r>
    </w:p>
    <w:p w:rsidR="00D73C8E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Os “trinta gloriosos” anos de abundância e crescimento económico do mundo capitalista cessaram abruptamente em 1973. </w:t>
      </w:r>
    </w:p>
    <w:p w:rsidR="00D73C8E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 crise afetou essencialmente os setores siderúrgico, a construção naval, automóvel e têxtil. Muitas empresas fecharam, outras reconverteram a sua produção e o desemprego subiu em flecha. </w:t>
      </w:r>
    </w:p>
    <w:p w:rsidR="00D73C8E" w:rsidRPr="0042743F" w:rsidP="00AC40C3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 inflação tornou-se galopante e este fenómeno recebeu o nome de </w:t>
      </w:r>
      <w:r w:rsidRPr="0042743F" w:rsidR="0040265F">
        <w:rPr>
          <w:rFonts w:ascii="Century Gothic" w:hAnsi="Century Gothic"/>
          <w:szCs w:val="20"/>
          <w:u w:val="single"/>
        </w:rPr>
        <w:t>estagflação</w:t>
      </w:r>
      <w:r w:rsidRPr="0042743F" w:rsidR="0040265F">
        <w:rPr>
          <w:rFonts w:ascii="Century Gothic" w:hAnsi="Century Gothic"/>
          <w:szCs w:val="20"/>
        </w:rPr>
        <w:t xml:space="preserve">, dado que houve uma estagnação produtiva acompanhada pela alta de preços. </w:t>
      </w:r>
    </w:p>
    <w:p w:rsidR="0040265F" w:rsidRPr="0042743F" w:rsidP="00AC40C3">
      <w:pPr>
        <w:pStyle w:val="NoSpacing"/>
        <w:rPr>
          <w:rFonts w:ascii="Century Gothic" w:hAnsi="Century Gothic"/>
          <w:szCs w:val="20"/>
        </w:rPr>
      </w:pPr>
    </w:p>
    <w:p w:rsidR="0040265F" w:rsidRPr="0042743F" w:rsidP="0040265F">
      <w:pPr>
        <w:pStyle w:val="NoSpacing"/>
        <w:numPr>
          <w:ilvl w:val="0"/>
          <w:numId w:val="2"/>
        </w:numPr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Os fatores de crise</w:t>
      </w:r>
    </w:p>
    <w:p w:rsidR="0040265F" w:rsidRPr="0042743F" w:rsidP="0040265F">
      <w:pPr>
        <w:pStyle w:val="NoSpacing"/>
        <w:rPr>
          <w:rFonts w:ascii="Century Gothic" w:hAnsi="Century Gothic"/>
          <w:b/>
          <w:szCs w:val="20"/>
        </w:rPr>
      </w:pPr>
      <w:r w:rsidRPr="0042743F">
        <w:rPr>
          <w:rFonts w:ascii="Century Gothic" w:hAnsi="Century Gothic"/>
          <w:szCs w:val="20"/>
        </w:rPr>
        <w:t xml:space="preserve">A interrupção do crescimento económico dos anos 70 deveu-se, sobretudo, à conjugação de dois fatores: </w:t>
      </w:r>
      <w:r w:rsidRPr="0042743F">
        <w:rPr>
          <w:rFonts w:ascii="Century Gothic" w:hAnsi="Century Gothic"/>
          <w:b/>
          <w:szCs w:val="20"/>
        </w:rPr>
        <w:t xml:space="preserve">crise energética e instabilidade monetária. </w:t>
      </w:r>
    </w:p>
    <w:p w:rsidR="0040265F" w:rsidRPr="0042743F" w:rsidP="0040265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Nos finais da década de 60, o petróleo era a fonte de energia básica de que dependiam os países industrializados. </w:t>
      </w:r>
    </w:p>
    <w:p w:rsidR="0040265F" w:rsidRPr="0042743F" w:rsidP="0040265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Em 1973, os países do Médio Oriente, membros da OPEP que até aí tinham mantido baixo o custo do barril de crude, fazem deste recurso natural uma arma política. Como retaliação contra a ajuda dos ocidentais a Israel, decidem quadruplicar o preço do barril e reduzir a produção petrolífera em 25 %, reforçando este número com reduções mensais progressivas de 5 %, até que fosse abandonada a política de auxílio ao Estado Judaico. Aos EUA, à Holanda e à Dinamarca, considerados “inimigos da causa árabe”, foi imposto um boicote total. </w:t>
      </w:r>
    </w:p>
    <w:p w:rsidR="0040265F" w:rsidRPr="0042743F" w:rsidP="0040265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Em 1979, a situação agravar-se-á com novas subidas do preço devido à crise política do Irão (segundo maior exportador mundial) e à posterior guerra Irão-Iraque. </w:t>
      </w:r>
    </w:p>
    <w:p w:rsidR="0040265F" w:rsidRPr="0042743F" w:rsidP="0040265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Estes </w:t>
      </w:r>
      <w:r w:rsidRPr="0042743F">
        <w:rPr>
          <w:rFonts w:ascii="Century Gothic" w:hAnsi="Century Gothic"/>
          <w:szCs w:val="20"/>
          <w:u w:val="single"/>
        </w:rPr>
        <w:t>“choques petrolíferos”</w:t>
      </w:r>
      <w:r w:rsidRPr="0042743F">
        <w:rPr>
          <w:rFonts w:ascii="Century Gothic" w:hAnsi="Century Gothic"/>
          <w:szCs w:val="20"/>
        </w:rPr>
        <w:t xml:space="preserve">, que provocaram um aumento do “ouro negro”, levaram ao acentuado aumento dos custos de produção dos artigos industriais e, consequentemente, o encarecimento dos artigos junto do consumidor, gerando uma escalada de inflação. </w:t>
      </w:r>
    </w:p>
    <w:p w:rsidR="0040265F" w:rsidRPr="0042743F" w:rsidP="0040265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Um outro fator determinante nesta depressão económica, foi a </w:t>
      </w:r>
      <w:r w:rsidRPr="0042743F">
        <w:rPr>
          <w:rFonts w:ascii="Century Gothic" w:hAnsi="Century Gothic"/>
          <w:szCs w:val="20"/>
          <w:u w:val="single"/>
        </w:rPr>
        <w:t>instabilidade monetária</w:t>
      </w:r>
      <w:r w:rsidRPr="0042743F">
        <w:rPr>
          <w:rFonts w:ascii="Century Gothic" w:hAnsi="Century Gothic"/>
          <w:szCs w:val="20"/>
        </w:rPr>
        <w:t>: excessiva quantidade de moeda posta em circulação pelos Estados Unidos (devido a gastos sociais, militares, investimentos no estrangeiro, etc.) levando o presidente Nixon a suspender, em agosto de 1971, a convertibilidade do dólar em ouro, o que desregulou o sistema monetário internacional.</w:t>
      </w:r>
    </w:p>
    <w:p w:rsidR="0040265F" w:rsidRPr="0042743F" w:rsidP="0040265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Segundo alguns analistas foi esta instabilidade monetária a maior responsável pelo enfraquecimento económico dos anos 70. </w:t>
      </w:r>
    </w:p>
    <w:p w:rsidR="00BF6BB5" w:rsidRPr="0042743F" w:rsidP="0040265F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Outras razões são apresentadas para explicar a recessão económica: falência do sistema fordista, desmotivação dos operários e um elevado absentismo, que conjugado com o aumento dos encargos sociais e salariais, diminuiu fortemente os ganhos dos empresários. </w:t>
      </w:r>
    </w:p>
    <w:p w:rsidR="00BF6BB5" w:rsidRPr="0042743F" w:rsidP="0040265F">
      <w:pPr>
        <w:pStyle w:val="NoSpacing"/>
        <w:rPr>
          <w:rFonts w:ascii="Century Gothic" w:hAnsi="Century Gothic"/>
          <w:szCs w:val="20"/>
        </w:rPr>
      </w:pPr>
    </w:p>
    <w:p w:rsidR="00BF6BB5" w:rsidRPr="0042743F" w:rsidP="00BF6BB5">
      <w:pPr>
        <w:pStyle w:val="NoSpacing"/>
        <w:numPr>
          <w:ilvl w:val="0"/>
          <w:numId w:val="2"/>
        </w:numPr>
        <w:rPr>
          <w:rFonts w:ascii="Century Gothic" w:hAnsi="Century Gothic"/>
          <w:color w:val="FF0000"/>
          <w:szCs w:val="20"/>
        </w:rPr>
      </w:pPr>
      <w:r w:rsidRPr="0042743F">
        <w:rPr>
          <w:rFonts w:ascii="Century Gothic" w:hAnsi="Century Gothic"/>
          <w:color w:val="FF0000"/>
          <w:szCs w:val="20"/>
        </w:rPr>
        <w:t>Uma crise relativa</w:t>
      </w:r>
    </w:p>
    <w:p w:rsidR="00BF6BB5" w:rsidRPr="0042743F" w:rsidP="00BF6BB5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 crise dos anos 70, introduziu um novo ciclo económico, que intercala períodos de crescimento e de estagnação. </w:t>
      </w:r>
    </w:p>
    <w:p w:rsidR="00BF6BB5" w:rsidRPr="0042743F" w:rsidP="00BF6BB5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Ainda que a um ritmo mais lento que na década de 30, o crescimento económico manteve-se, alguns setores industriais reconverteram-se, enquanto outros, ligados às novas tecnologias, conheceram um forte impulso. </w:t>
      </w:r>
    </w:p>
    <w:p w:rsidR="00BF6BB5" w:rsidRPr="0042743F" w:rsidP="00BF6BB5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Paralelamente, registou-se um aumento do setor terciário e o comércio internacional nunca decaiu, embora tenha desacelerado o seu crescimento. </w:t>
      </w:r>
    </w:p>
    <w:p w:rsidR="0042743F" w:rsidRPr="0042743F" w:rsidP="00BF6BB5">
      <w:pPr>
        <w:pStyle w:val="NoSpacing"/>
        <w:rPr>
          <w:rFonts w:ascii="Century Gothic" w:hAnsi="Century Gothic"/>
          <w:szCs w:val="20"/>
        </w:rPr>
      </w:pPr>
      <w:r w:rsidRPr="0042743F">
        <w:rPr>
          <w:rFonts w:ascii="Century Gothic" w:hAnsi="Century Gothic"/>
          <w:szCs w:val="20"/>
        </w:rPr>
        <w:t xml:space="preserve">Também no aspeto social esta crise não atingiu a dimensão trágica da Grande Depressão: as estruturas do Estado-Providência, reforçadas, como sabemos, após o segundo conflito mundial, cumpriram absolutamente o seu papel, amparando o desemprego e evitando situações de miséria extrema e generalizada. </w:t>
      </w:r>
    </w:p>
    <w:p w:rsidR="00BF6BB5" w:rsidP="0040265F">
      <w:pPr>
        <w:pStyle w:val="NoSpacing"/>
        <w:rPr>
          <w:rFonts w:ascii="Century Gothic" w:hAnsi="Century Gothic"/>
          <w:sz w:val="24"/>
          <w:szCs w:val="24"/>
        </w:rPr>
      </w:pPr>
    </w:p>
    <w:p w:rsidR="0040265F" w:rsidP="00AC40C3">
      <w:pPr>
        <w:pStyle w:val="NoSpacing"/>
        <w:rPr>
          <w:rFonts w:ascii="Century Gothic" w:hAnsi="Century Gothic"/>
          <w:sz w:val="24"/>
          <w:szCs w:val="24"/>
        </w:rPr>
      </w:pPr>
    </w:p>
    <w:p w:rsidR="0040265F" w:rsidP="00AC40C3">
      <w:pPr>
        <w:pStyle w:val="NoSpacing"/>
        <w:rPr>
          <w:rFonts w:ascii="Century Gothic" w:hAnsi="Century Gothic"/>
          <w:sz w:val="24"/>
          <w:szCs w:val="24"/>
        </w:rPr>
      </w:pPr>
    </w:p>
    <w:p w:rsidR="00AC40C3" w:rsidRPr="00501E16" w:rsidP="00AC40C3">
      <w:pPr>
        <w:pStyle w:val="NoSpacing"/>
        <w:rPr>
          <w:rFonts w:ascii="Century Gothic" w:hAnsi="Century Gothic"/>
          <w:sz w:val="24"/>
          <w:szCs w:val="24"/>
        </w:rPr>
      </w:pPr>
    </w:p>
    <w:p w:rsidR="00E55E0F" w:rsidP="00E55E0F">
      <w:pPr>
        <w:pStyle w:val="NoSpacing"/>
        <w:rPr>
          <w:rFonts w:ascii="Century Gothic" w:hAnsi="Century Gothic"/>
          <w:sz w:val="24"/>
          <w:szCs w:val="24"/>
        </w:rPr>
      </w:pPr>
    </w:p>
    <w:p w:rsidR="00E55E0F" w:rsidP="00E55E0F">
      <w:pPr>
        <w:pStyle w:val="NoSpacing"/>
        <w:ind w:left="1072"/>
        <w:rPr>
          <w:rFonts w:ascii="Century Gothic" w:hAnsi="Century Gothic"/>
          <w:sz w:val="24"/>
          <w:szCs w:val="24"/>
        </w:rPr>
      </w:pPr>
    </w:p>
    <w:p w:rsidR="00E55E0F" w:rsidP="00E55E0F">
      <w:pPr>
        <w:pStyle w:val="NoSpacing"/>
        <w:ind w:left="1072"/>
        <w:rPr>
          <w:rFonts w:ascii="Century Gothic" w:hAnsi="Century Gothic"/>
          <w:sz w:val="24"/>
          <w:szCs w:val="24"/>
        </w:rPr>
      </w:pPr>
    </w:p>
    <w:p w:rsidR="00E55E0F" w:rsidP="00E55E0F">
      <w:pPr>
        <w:pStyle w:val="NoSpacing"/>
        <w:ind w:left="1072" w:firstLine="0"/>
        <w:rPr>
          <w:rFonts w:ascii="Century Gothic" w:hAnsi="Century Gothic"/>
          <w:sz w:val="24"/>
          <w:szCs w:val="24"/>
        </w:rPr>
      </w:pPr>
    </w:p>
    <w:p w:rsidR="00E55E0F" w:rsidRPr="00E55E0F" w:rsidP="00E55E0F">
      <w:pPr>
        <w:pStyle w:val="NoSpacing"/>
        <w:ind w:left="1072" w:firstLine="0"/>
        <w:rPr>
          <w:rFonts w:ascii="Century Gothic" w:hAnsi="Century Gothic"/>
          <w:sz w:val="24"/>
          <w:szCs w:val="24"/>
        </w:rPr>
      </w:pPr>
    </w:p>
    <w:p w:rsidR="00E55E0F" w:rsidRPr="00362C9A" w:rsidP="00E55E0F">
      <w:pPr>
        <w:pStyle w:val="NoSpacing"/>
        <w:rPr>
          <w:rFonts w:ascii="Century Gothic" w:hAnsi="Century Gothic"/>
          <w:sz w:val="24"/>
          <w:szCs w:val="24"/>
        </w:rPr>
      </w:pPr>
    </w:p>
    <w:p w:rsidR="00362C9A" w:rsidRPr="00362C9A" w:rsidP="00362C9A">
      <w:pPr>
        <w:pStyle w:val="NoSpacing"/>
        <w:rPr>
          <w:rFonts w:ascii="Century Gothic" w:hAnsi="Century Gothic"/>
          <w:sz w:val="24"/>
          <w:szCs w:val="24"/>
        </w:rPr>
      </w:pPr>
    </w:p>
    <w:sectPr>
      <w:headerReference w:type="default" r:id="rId5"/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43F" w:rsidRPr="0042743F">
    <w:pPr>
      <w:pStyle w:val="Footer"/>
      <w:jc w:val="right"/>
      <w:rPr>
        <w:rFonts w:ascii="Century Gothic" w:hAnsi="Century Gothic"/>
      </w:rPr>
    </w:pPr>
    <w:r w:rsidRPr="0042743F">
      <w:rPr>
        <w:rFonts w:ascii="Century Gothic" w:hAnsi="Century Gothic"/>
      </w:rPr>
      <w:fldChar w:fldCharType="begin"/>
    </w:r>
    <w:r w:rsidRPr="0042743F">
      <w:rPr>
        <w:rFonts w:ascii="Century Gothic" w:hAnsi="Century Gothic"/>
      </w:rPr>
      <w:instrText>PAGE   \* MERGEFORMAT</w:instrText>
    </w:r>
    <w:r w:rsidRPr="0042743F">
      <w:rPr>
        <w:rFonts w:ascii="Century Gothic" w:hAnsi="Century Gothic"/>
      </w:rPr>
      <w:fldChar w:fldCharType="separate"/>
    </w:r>
    <w:r w:rsidR="00D85338">
      <w:rPr>
        <w:rFonts w:ascii="Century Gothic" w:hAnsi="Century Gothic"/>
        <w:noProof/>
      </w:rPr>
      <w:t>3</w:t>
    </w:r>
    <w:r w:rsidRPr="0042743F">
      <w:rPr>
        <w:rFonts w:ascii="Century Gothic" w:hAnsi="Century Gothic"/>
      </w:rPr>
      <w:fldChar w:fldCharType="end"/>
    </w:r>
  </w:p>
  <w:p w:rsidR="004274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101" w:rsidP="00362C9A">
      <w:pPr>
        <w:spacing w:line="240" w:lineRule="auto"/>
      </w:pPr>
      <w:r>
        <w:separator/>
      </w:r>
    </w:p>
  </w:footnote>
  <w:footnote w:type="continuationSeparator" w:id="1">
    <w:p w:rsidR="00876101" w:rsidP="00362C9A">
      <w:pPr>
        <w:spacing w:line="240" w:lineRule="auto"/>
      </w:pPr>
      <w:r>
        <w:continuationSeparator/>
      </w:r>
    </w:p>
  </w:footnote>
  <w:footnote w:id="2">
    <w:p w:rsidR="00362C9A" w:rsidRPr="00362C9A">
      <w:pPr>
        <w:pStyle w:val="FootnoteText"/>
        <w:rPr>
          <w:rFonts w:ascii="Century Gothic" w:hAnsi="Century Gothic"/>
        </w:rPr>
      </w:pPr>
      <w:r w:rsidRPr="00362C9A">
        <w:rPr>
          <w:rStyle w:val="FootnoteReference"/>
          <w:rFonts w:ascii="Century Gothic" w:hAnsi="Century Gothic"/>
        </w:rPr>
        <w:footnoteRef/>
      </w:r>
      <w:r w:rsidRPr="00362C9A">
        <w:rPr>
          <w:rFonts w:ascii="Century Gothic" w:hAnsi="Century Gothic"/>
        </w:rPr>
        <w:t xml:space="preserve">  Os americanos implementaram também um programa de ajuda económica, semelhante ao Plano Marshall que ficou conhecido como Plano Dodge.</w:t>
      </w:r>
    </w:p>
  </w:footnote>
  <w:footnote w:id="3">
    <w:p w:rsidR="00DD61EB" w:rsidRPr="0042743F">
      <w:pPr>
        <w:pStyle w:val="FootnoteText"/>
        <w:rPr>
          <w:rFonts w:ascii="Century Gothic" w:hAnsi="Century Gothic"/>
          <w:sz w:val="16"/>
          <w:szCs w:val="16"/>
        </w:rPr>
      </w:pPr>
      <w:r w:rsidRPr="0042743F">
        <w:rPr>
          <w:rStyle w:val="FootnoteReference"/>
          <w:rFonts w:ascii="Century Gothic" w:hAnsi="Century Gothic"/>
          <w:sz w:val="16"/>
          <w:szCs w:val="16"/>
        </w:rPr>
        <w:footnoteRef/>
      </w:r>
      <w:r w:rsidRPr="0042743F">
        <w:rPr>
          <w:rFonts w:ascii="Century Gothic" w:hAnsi="Century Gothic"/>
          <w:sz w:val="16"/>
          <w:szCs w:val="16"/>
        </w:rPr>
        <w:t xml:space="preserve"> Tendo como exemplo a federação dos EUA, em que cada estado, possuindo relativa autonomia interna, não tem voz própria em questões internacionais.</w:t>
      </w:r>
    </w:p>
  </w:footnote>
  <w:footnote w:id="4">
    <w:p w:rsidR="00FB1183" w:rsidRPr="00FB1183">
      <w:pPr>
        <w:pStyle w:val="FootnoteText"/>
        <w:rPr>
          <w:rFonts w:ascii="Century Gothic" w:hAnsi="Century Gothic"/>
        </w:rPr>
      </w:pPr>
      <w:r w:rsidRPr="0042743F">
        <w:rPr>
          <w:rStyle w:val="FootnoteReference"/>
          <w:rFonts w:ascii="Century Gothic" w:hAnsi="Century Gothic"/>
          <w:sz w:val="16"/>
          <w:szCs w:val="16"/>
        </w:rPr>
        <w:footnoteRef/>
      </w:r>
      <w:r w:rsidRPr="0042743F">
        <w:rPr>
          <w:rFonts w:ascii="Century Gothic" w:hAnsi="Century Gothic"/>
          <w:sz w:val="16"/>
          <w:szCs w:val="16"/>
        </w:rPr>
        <w:t xml:space="preserve"> A Bélgica, Holanda e o Luxemburgo já tinham formado entre si, em 1948, um acordo aduaneiro que instituía a livre circulação de mercadorias – BENELUX.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C9A" w:rsidRPr="0042743F" w:rsidP="00362C9A">
    <w:pPr>
      <w:pStyle w:val="NoSpacing"/>
      <w:jc w:val="right"/>
      <w:rPr>
        <w:rFonts w:ascii="Century Gothic" w:hAnsi="Century Gothic"/>
        <w:sz w:val="16"/>
        <w:szCs w:val="16"/>
      </w:rPr>
    </w:pPr>
    <w:r w:rsidRPr="0042743F">
      <w:rPr>
        <w:rFonts w:ascii="Century Gothic" w:hAnsi="Century Gothic"/>
        <w:sz w:val="16"/>
        <w:szCs w:val="16"/>
      </w:rPr>
      <w:t>História A – 12º Ano</w:t>
    </w:r>
  </w:p>
  <w:p w:rsidR="00362C9A" w:rsidRPr="0042743F" w:rsidP="00362C9A">
    <w:pPr>
      <w:pStyle w:val="NoSpacing"/>
      <w:jc w:val="right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 xml:space="preserve">16 de março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47BF2"/>
    <w:multiLevelType w:val="hybridMultilevel"/>
    <w:tmpl w:val="D58048E8"/>
    <w:lvl w:ilvl="0">
      <w:start w:val="1"/>
      <w:numFmt w:val="bullet"/>
      <w:lvlText w:val="*"/>
      <w:lvlJc w:val="left"/>
      <w:pPr>
        <w:ind w:left="1429" w:hanging="360"/>
      </w:pPr>
      <w:rPr>
        <w:rFonts w:ascii="Symbol" w:hAnsi="Symbol" w:hint="default"/>
        <w:color w:val="FF0000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07365E0"/>
    <w:multiLevelType w:val="hybridMultilevel"/>
    <w:tmpl w:val="43BA8178"/>
    <w:lvl w:ilvl="0">
      <w:start w:val="1"/>
      <w:numFmt w:val="bullet"/>
      <w:lvlText w:val="*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E3C32F2"/>
    <w:multiLevelType w:val="hybridMultilevel"/>
    <w:tmpl w:val="9BF466D4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FF0000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0"/>
    <w:footnote w:id="1"/>
  </w:footnotePr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2777"/>
    <w:pPr>
      <w:spacing w:line="240" w:lineRule="auto"/>
    </w:pPr>
    <w:rPr>
      <w:rFonts w:ascii="Dotum" w:hAnsi="Dotum"/>
      <w:sz w:val="20"/>
    </w:rPr>
  </w:style>
  <w:style w:type="paragraph" w:styleId="Header">
    <w:name w:val="header"/>
    <w:basedOn w:val="Normal"/>
    <w:link w:val="CabealhoCarcter"/>
    <w:uiPriority w:val="99"/>
    <w:unhideWhenUsed/>
    <w:rsid w:val="00362C9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DefaultParagraphFont"/>
    <w:link w:val="Header"/>
    <w:uiPriority w:val="99"/>
    <w:rsid w:val="00362C9A"/>
  </w:style>
  <w:style w:type="paragraph" w:styleId="Footer">
    <w:name w:val="footer"/>
    <w:basedOn w:val="Normal"/>
    <w:link w:val="RodapCarcter"/>
    <w:uiPriority w:val="99"/>
    <w:unhideWhenUsed/>
    <w:rsid w:val="00362C9A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DefaultParagraphFont"/>
    <w:link w:val="Footer"/>
    <w:uiPriority w:val="99"/>
    <w:rsid w:val="00362C9A"/>
  </w:style>
  <w:style w:type="paragraph" w:styleId="FootnoteText">
    <w:name w:val="footnote text"/>
    <w:basedOn w:val="Normal"/>
    <w:link w:val="TextodenotaderodapCarcter"/>
    <w:uiPriority w:val="99"/>
    <w:semiHidden/>
    <w:unhideWhenUsed/>
    <w:rsid w:val="00362C9A"/>
    <w:pPr>
      <w:spacing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DefaultParagraphFont"/>
    <w:link w:val="FootnoteText"/>
    <w:uiPriority w:val="99"/>
    <w:semiHidden/>
    <w:rsid w:val="00362C9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2C9A"/>
    <w:rPr>
      <w:vertAlign w:val="superscript"/>
    </w:rPr>
  </w:style>
  <w:style w:type="paragraph" w:styleId="BalloonText">
    <w:name w:val="Balloon Text"/>
    <w:basedOn w:val="Normal"/>
    <w:link w:val="TextodebaloCarcter"/>
    <w:uiPriority w:val="99"/>
    <w:semiHidden/>
    <w:unhideWhenUsed/>
    <w:rsid w:val="00E55E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E55E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header" Target="header1.xml"></Relationship><Relationship Id="rId6" Type="http://schemas.openxmlformats.org/officeDocument/2006/relationships/footer" Target="footer1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2679</Words>
  <Characters>14469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4</cp:revision>
  <dcterms:created xsi:type="dcterms:W3CDTF">2012-03-06T03:07:00Z</dcterms:created>
  <dcterms:modified xsi:type="dcterms:W3CDTF">2012-03-14T12:25:00Z</dcterms:modified>
</cp:coreProperties>
</file>