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4A" w:rsidRPr="001D164A" w:rsidRDefault="001D164A" w:rsidP="00322894">
      <w:pPr>
        <w:jc w:val="center"/>
        <w:rPr>
          <w:b/>
          <w:color w:val="0000FF"/>
          <w:sz w:val="40"/>
          <w:u w:val="single"/>
        </w:rPr>
      </w:pPr>
      <w:r w:rsidRPr="001D164A">
        <w:rPr>
          <w:b/>
          <w:color w:val="0000FF"/>
          <w:sz w:val="40"/>
          <w:u w:val="single"/>
        </w:rPr>
        <w:t>Ex.36</w:t>
      </w:r>
    </w:p>
    <w:p w:rsidR="001D164A" w:rsidRDefault="001D164A"/>
    <w:p w:rsidR="001D164A" w:rsidRPr="001D164A" w:rsidRDefault="00B12269" w:rsidP="001D164A">
      <w:pPr>
        <w:spacing w:line="360" w:lineRule="auto"/>
        <w:jc w:val="both"/>
        <w:rPr>
          <w:b/>
        </w:rPr>
      </w:pPr>
      <w:r w:rsidRPr="001D164A">
        <w:rPr>
          <w:b/>
        </w:rPr>
        <w:t>A)</w:t>
      </w:r>
    </w:p>
    <w:p w:rsidR="0060122F" w:rsidRPr="001D164A" w:rsidRDefault="00B12269" w:rsidP="001D164A">
      <w:pPr>
        <w:spacing w:line="360" w:lineRule="auto"/>
        <w:jc w:val="both"/>
      </w:pPr>
      <w:r w:rsidRPr="001D164A">
        <w:t xml:space="preserve">1. As Reservas são “(...) principalmente constituídas por retenção de lucros, visando o aumento dos meios de </w:t>
      </w:r>
      <w:proofErr w:type="spellStart"/>
      <w:r w:rsidRPr="001D164A">
        <w:t>acção</w:t>
      </w:r>
      <w:proofErr w:type="spellEnd"/>
      <w:r w:rsidRPr="001D164A">
        <w:t xml:space="preserve"> das empresas”</w:t>
      </w:r>
      <w:r w:rsidRPr="001D164A">
        <w:rPr>
          <w:rStyle w:val="FootnoteReference"/>
        </w:rPr>
        <w:footnoteReference w:id="1"/>
      </w:r>
      <w:r w:rsidRPr="001D164A">
        <w:t xml:space="preserve">. Podendo estar divididas em reservas legais (obrigatórias por lei) e livres (decididas pela Assembleia Geral), são recursos que poderão ser utilizados para fazer face a alguma e eventualidade. Conclusão: a afirmação está </w:t>
      </w:r>
      <w:proofErr w:type="spellStart"/>
      <w:r w:rsidRPr="001D164A">
        <w:t>correcta</w:t>
      </w:r>
      <w:proofErr w:type="spellEnd"/>
      <w:r w:rsidRPr="001D164A">
        <w:t>.</w:t>
      </w:r>
    </w:p>
    <w:p w:rsidR="00B12269" w:rsidRPr="001D164A" w:rsidRDefault="001D164A" w:rsidP="001D164A">
      <w:pPr>
        <w:spacing w:line="360" w:lineRule="auto"/>
        <w:jc w:val="both"/>
      </w:pPr>
      <w:r w:rsidRPr="001D164A">
        <w:t>2. Os excedentes de revalorização resultam da aplicaçã</w:t>
      </w:r>
      <w:r w:rsidR="00C6469C">
        <w:t>o do modelo de revalorização de</w:t>
      </w:r>
      <w:r w:rsidRPr="001D164A">
        <w:t xml:space="preserve"> </w:t>
      </w:r>
      <w:proofErr w:type="spellStart"/>
      <w:r w:rsidRPr="001D164A">
        <w:t>activos</w:t>
      </w:r>
      <w:proofErr w:type="spellEnd"/>
      <w:r w:rsidRPr="001D164A">
        <w:t xml:space="preserve"> tangíveis e intangíveis, não podendo ser distribuídos como dividendos.</w:t>
      </w:r>
    </w:p>
    <w:p w:rsidR="00B12269" w:rsidRPr="001D164A" w:rsidRDefault="001D164A" w:rsidP="001D164A">
      <w:pPr>
        <w:spacing w:line="360" w:lineRule="auto"/>
        <w:jc w:val="both"/>
      </w:pPr>
      <w:r w:rsidRPr="001D164A">
        <w:t xml:space="preserve">3. O resultado líquido dum dado período </w:t>
      </w:r>
      <w:proofErr w:type="spellStart"/>
      <w:r w:rsidRPr="001D164A">
        <w:t>reflecte</w:t>
      </w:r>
      <w:proofErr w:type="spellEnd"/>
      <w:r w:rsidRPr="001D164A">
        <w:t xml:space="preserve"> o desempenho da empresa ao apresentar os rendimentos e gastos, bem como o</w:t>
      </w:r>
      <w:r>
        <w:t>utras rubricas, que ocorreram durante o</w:t>
      </w:r>
      <w:r w:rsidRPr="001D164A">
        <w:t xml:space="preserve"> exercício. O facto deste ser positivo pode em nada estar relacionado com o dinheiro que a empresa tem em caixa ou em depósitos, daí ser possível ter um resultado líquido positivo e não ter dinheiro nenhum.</w:t>
      </w:r>
    </w:p>
    <w:p w:rsidR="00B12269" w:rsidRPr="001D164A" w:rsidRDefault="001D164A" w:rsidP="001D164A">
      <w:pPr>
        <w:spacing w:line="360" w:lineRule="auto"/>
        <w:jc w:val="both"/>
      </w:pPr>
      <w:r w:rsidRPr="001D164A">
        <w:t xml:space="preserve">4. </w:t>
      </w:r>
      <w:r w:rsidR="00C36710">
        <w:t xml:space="preserve">“O bolo mantém-se mas passa a estar dividido em mais fatias.”. Nos aumentos de capital por incorporação de reservas apesar do valor do capital ser maior, o número de </w:t>
      </w:r>
      <w:proofErr w:type="spellStart"/>
      <w:r w:rsidR="00C36710">
        <w:t>acções</w:t>
      </w:r>
      <w:proofErr w:type="spellEnd"/>
      <w:r w:rsidR="00C36710">
        <w:t xml:space="preserve"> também aumentou. Isto faz com que o valor contabilístico destas diminua e como o preço de emissão é nulo, também o encaixe é nulo, isto é, não há entrada de dinheiro. Logo, a riqueza dos </w:t>
      </w:r>
      <w:proofErr w:type="spellStart"/>
      <w:r w:rsidR="00C36710">
        <w:t>accionistas</w:t>
      </w:r>
      <w:proofErr w:type="spellEnd"/>
      <w:r w:rsidR="00C36710">
        <w:t xml:space="preserve"> não aumenta.</w:t>
      </w:r>
    </w:p>
    <w:p w:rsidR="00B12269" w:rsidRPr="001D164A" w:rsidRDefault="001D164A" w:rsidP="001D164A">
      <w:pPr>
        <w:spacing w:line="360" w:lineRule="auto"/>
        <w:jc w:val="both"/>
      </w:pPr>
      <w:r w:rsidRPr="001D164A">
        <w:t xml:space="preserve">5. </w:t>
      </w:r>
      <w:r w:rsidR="00322894">
        <w:t xml:space="preserve"> O reembolso origina um fluxo de tesouraria que diminui o valor do </w:t>
      </w:r>
      <w:proofErr w:type="spellStart"/>
      <w:r w:rsidR="00322894">
        <w:t>Activo</w:t>
      </w:r>
      <w:proofErr w:type="spellEnd"/>
      <w:r w:rsidR="00322894">
        <w:t xml:space="preserve"> da empresa, bem como o capital próprio. Contudo, este reembolso não é demonstrado na DR pelo que não afecta o resultado líquido. Logo, o resultado líquido manter-se-á positivo.</w:t>
      </w:r>
    </w:p>
    <w:p w:rsidR="00B12269" w:rsidRPr="001D164A" w:rsidRDefault="00B12269" w:rsidP="001D164A">
      <w:pPr>
        <w:spacing w:line="360" w:lineRule="auto"/>
        <w:jc w:val="both"/>
      </w:pPr>
    </w:p>
    <w:p w:rsidR="00B12269" w:rsidRPr="001D164A" w:rsidRDefault="00B12269" w:rsidP="001D164A">
      <w:pPr>
        <w:spacing w:line="360" w:lineRule="auto"/>
        <w:jc w:val="both"/>
        <w:rPr>
          <w:b/>
        </w:rPr>
      </w:pPr>
      <w:r w:rsidRPr="001D164A">
        <w:rPr>
          <w:b/>
        </w:rPr>
        <w:t>B)</w:t>
      </w:r>
      <w:r w:rsidR="00C6469C">
        <w:rPr>
          <w:b/>
        </w:rPr>
        <w:t xml:space="preserve"> – Aumento de capital por entrada de dinheiro</w:t>
      </w:r>
    </w:p>
    <w:p w:rsidR="00B12269" w:rsidRPr="001D164A" w:rsidRDefault="00B10AB1" w:rsidP="001D164A">
      <w:pPr>
        <w:spacing w:line="360" w:lineRule="auto"/>
        <w:jc w:val="both"/>
      </w:pPr>
      <w:r>
        <w:t xml:space="preserve">Visto que o preço de emissão está abaixo do de mercado haverá uma transferência de riqueza dos antigos para os novos </w:t>
      </w:r>
      <w:proofErr w:type="spellStart"/>
      <w:r>
        <w:t>accionistas</w:t>
      </w:r>
      <w:proofErr w:type="spellEnd"/>
      <w:r>
        <w:t>.</w:t>
      </w:r>
      <w:bookmarkStart w:id="0" w:name="_GoBack"/>
      <w:bookmarkEnd w:id="0"/>
    </w:p>
    <w:p w:rsidR="00B12269" w:rsidRPr="001D164A" w:rsidRDefault="00B12269" w:rsidP="001D164A">
      <w:pPr>
        <w:spacing w:line="360" w:lineRule="auto"/>
      </w:pPr>
    </w:p>
    <w:sectPr w:rsidR="00B12269" w:rsidRPr="001D164A" w:rsidSect="005374E4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DCC" w:rsidRDefault="00694DCC" w:rsidP="00B12269">
      <w:r>
        <w:separator/>
      </w:r>
    </w:p>
  </w:endnote>
  <w:endnote w:type="continuationSeparator" w:id="0">
    <w:p w:rsidR="00694DCC" w:rsidRDefault="00694DCC" w:rsidP="00B12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894" w:rsidRPr="00090C43" w:rsidRDefault="00C10E32">
    <w:pPr>
      <w:pStyle w:val="Footer"/>
      <w:rPr>
        <w:lang w:val="en-US"/>
      </w:rPr>
    </w:pPr>
    <w:sdt>
      <w:sdtPr>
        <w:id w:val="969400743"/>
        <w:temporary/>
        <w:showingPlcHdr/>
      </w:sdtPr>
      <w:sdtContent>
        <w:r w:rsidR="00322894" w:rsidRPr="00090C43">
          <w:rPr>
            <w:lang w:val="en-US"/>
          </w:rPr>
          <w:t>[Type text]</w:t>
        </w:r>
      </w:sdtContent>
    </w:sdt>
    <w:r w:rsidR="00322894">
      <w:ptab w:relativeTo="margin" w:alignment="center" w:leader="none"/>
    </w:r>
    <w:sdt>
      <w:sdtPr>
        <w:id w:val="969400748"/>
        <w:temporary/>
        <w:showingPlcHdr/>
      </w:sdtPr>
      <w:sdtContent>
        <w:r w:rsidR="00322894" w:rsidRPr="00090C43">
          <w:rPr>
            <w:lang w:val="en-US"/>
          </w:rPr>
          <w:t>[Type text]</w:t>
        </w:r>
      </w:sdtContent>
    </w:sdt>
    <w:r w:rsidR="00322894">
      <w:ptab w:relativeTo="margin" w:alignment="right" w:leader="none"/>
    </w:r>
    <w:sdt>
      <w:sdtPr>
        <w:id w:val="969400753"/>
        <w:temporary/>
        <w:showingPlcHdr/>
      </w:sdtPr>
      <w:sdtContent>
        <w:r w:rsidR="00322894" w:rsidRPr="00090C43">
          <w:rPr>
            <w:lang w:val="en-US"/>
          </w:rPr>
          <w:t>[Type text]</w:t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894" w:rsidRPr="00322894" w:rsidRDefault="00322894" w:rsidP="001D164A">
    <w:pPr>
      <w:pStyle w:val="Footer"/>
      <w:jc w:val="center"/>
      <w:rPr>
        <w:b/>
        <w:sz w:val="18"/>
        <w:szCs w:val="18"/>
        <w:u w:val="singl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DCC" w:rsidRDefault="00694DCC" w:rsidP="00B12269">
      <w:r>
        <w:separator/>
      </w:r>
    </w:p>
  </w:footnote>
  <w:footnote w:type="continuationSeparator" w:id="0">
    <w:p w:rsidR="00694DCC" w:rsidRDefault="00694DCC" w:rsidP="00B12269">
      <w:r>
        <w:continuationSeparator/>
      </w:r>
    </w:p>
  </w:footnote>
  <w:footnote w:id="1">
    <w:p w:rsidR="00322894" w:rsidRPr="00322894" w:rsidRDefault="00322894">
      <w:pPr>
        <w:pStyle w:val="FootnoteText"/>
        <w:rPr>
          <w:sz w:val="18"/>
          <w:szCs w:val="18"/>
          <w:lang w:val="pt-BR"/>
        </w:rPr>
      </w:pPr>
      <w:r w:rsidRPr="00322894">
        <w:rPr>
          <w:rStyle w:val="FootnoteReference"/>
          <w:sz w:val="18"/>
          <w:szCs w:val="18"/>
        </w:rPr>
        <w:footnoteRef/>
      </w:r>
      <w:r w:rsidRPr="00322894">
        <w:rPr>
          <w:sz w:val="18"/>
          <w:szCs w:val="18"/>
        </w:rPr>
        <w:t xml:space="preserve"> Cortês, Sílvia; “</w:t>
      </w:r>
      <w:r w:rsidRPr="00322894">
        <w:rPr>
          <w:sz w:val="18"/>
          <w:szCs w:val="18"/>
          <w:lang w:val="pt-BR"/>
        </w:rPr>
        <w:t>Contabilidade e Análise Financeira”; pág.27, l.6-7.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lang w:val="en-US"/>
      </w:rPr>
      <w:alias w:val="Title"/>
      <w:id w:val="77547040"/>
      <w:placeholder>
        <w:docPart w:val="170223310FF6B642AE0F9DBB936BB00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22894" w:rsidRPr="00090C43" w:rsidRDefault="00B10AB1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ambria" w:hAnsi="Cambria"/>
            <w:lang w:val="en-US"/>
          </w:rPr>
        </w:pPr>
        <w:r w:rsidRPr="00090C43">
          <w:rPr>
            <w:rFonts w:ascii="Cambria" w:hAnsi="Cambria"/>
            <w:lang w:val="en-US"/>
          </w:rPr>
          <w:t>Contabilidade Financeira II – Docente: Profª. Drª. Sílvia Cortês</w:t>
        </w:r>
      </w:p>
    </w:sdtContent>
  </w:sdt>
  <w:sdt>
    <w:sdtPr>
      <w:rPr>
        <w:rFonts w:ascii="Cambria" w:hAnsi="Cambria"/>
      </w:rPr>
      <w:alias w:val="Date"/>
      <w:id w:val="77547044"/>
      <w:placeholder>
        <w:docPart w:val="23E0BC0AFA0D2D40B15C6FD492B05DC9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MMMM d, yyyy"/>
        <w:lid w:val="en-US"/>
        <w:storeMappedDataAs w:val="dateTime"/>
        <w:calendar w:val="gregorian"/>
      </w:date>
    </w:sdtPr>
    <w:sdtContent>
      <w:p w:rsidR="00322894" w:rsidRPr="00090C43" w:rsidRDefault="00322894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ambria" w:hAnsi="Cambria"/>
            <w:lang w:val="en-US"/>
          </w:rPr>
        </w:pPr>
        <w:proofErr w:type="spellStart"/>
        <w:r>
          <w:rPr>
            <w:rFonts w:ascii="Cambria" w:hAnsi="Cambria"/>
            <w:lang w:val="en-US"/>
          </w:rPr>
          <w:t>Catolica</w:t>
        </w:r>
        <w:proofErr w:type="spellEnd"/>
        <w:r>
          <w:rPr>
            <w:rFonts w:ascii="Cambria" w:hAnsi="Cambria"/>
            <w:lang w:val="en-US"/>
          </w:rPr>
          <w:t>-Lisbon School of Lisbon and Economics</w:t>
        </w:r>
      </w:p>
    </w:sdtContent>
  </w:sdt>
  <w:p w:rsidR="00322894" w:rsidRPr="00090C43" w:rsidRDefault="00322894">
    <w:pPr>
      <w:pStyle w:val="Header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894" w:rsidRPr="00090C43" w:rsidRDefault="00322894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rFonts w:ascii="Cambria" w:hAnsi="Cambria"/>
        <w:sz w:val="18"/>
        <w:szCs w:val="18"/>
        <w:lang w:val="en-US"/>
      </w:rPr>
    </w:pPr>
    <w:r>
      <w:rPr>
        <w:rFonts w:ascii="Helvetica" w:hAnsi="Helvetica" w:cs="Helvetica"/>
        <w:noProof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5257800</wp:posOffset>
          </wp:positionH>
          <wp:positionV relativeFrom="paragraph">
            <wp:posOffset>-335280</wp:posOffset>
          </wp:positionV>
          <wp:extent cx="800100" cy="800100"/>
          <wp:effectExtent l="25400" t="25400" r="38100" b="38100"/>
          <wp:wrapTight wrapText="bothSides">
            <wp:wrapPolygon edited="0">
              <wp:start x="-686" y="-686"/>
              <wp:lineTo x="-686" y="21943"/>
              <wp:lineTo x="21943" y="21943"/>
              <wp:lineTo x="21943" y="-686"/>
              <wp:lineTo x="-686" y="-686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>
                    <a:solidFill>
                      <a:schemeClr val="accent1"/>
                    </a:solidFill>
                  </a:ln>
                </pic:spPr>
              </pic:pic>
            </a:graphicData>
          </a:graphic>
        </wp:anchor>
      </w:drawing>
    </w:r>
    <w:sdt>
      <w:sdtPr>
        <w:rPr>
          <w:rFonts w:ascii="Cambria" w:hAnsi="Cambria"/>
          <w:sz w:val="18"/>
          <w:szCs w:val="18"/>
          <w:lang w:val="en-US"/>
        </w:rPr>
        <w:alias w:val="Title"/>
        <w:id w:val="445595275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090C43">
          <w:rPr>
            <w:rFonts w:ascii="Cambria" w:hAnsi="Cambria"/>
            <w:sz w:val="18"/>
            <w:szCs w:val="18"/>
            <w:lang w:val="en-US"/>
          </w:rPr>
          <w:t xml:space="preserve">Contabilidade Financeira II – Docente: </w:t>
        </w:r>
        <w:r w:rsidR="00B10AB1" w:rsidRPr="00090C43">
          <w:rPr>
            <w:rFonts w:ascii="Cambria" w:hAnsi="Cambria"/>
            <w:sz w:val="18"/>
            <w:szCs w:val="18"/>
            <w:lang w:val="en-US"/>
          </w:rPr>
          <w:t xml:space="preserve">Profª. </w:t>
        </w:r>
        <w:r w:rsidRPr="00090C43">
          <w:rPr>
            <w:rFonts w:ascii="Cambria" w:hAnsi="Cambria"/>
            <w:sz w:val="18"/>
            <w:szCs w:val="18"/>
            <w:lang w:val="en-US"/>
          </w:rPr>
          <w:t>Drª. Sílvia Cortês</w:t>
        </w:r>
      </w:sdtContent>
    </w:sdt>
  </w:p>
  <w:sdt>
    <w:sdtPr>
      <w:rPr>
        <w:rFonts w:ascii="Cambria" w:hAnsi="Cambria"/>
        <w:b/>
        <w:sz w:val="18"/>
        <w:szCs w:val="18"/>
        <w:lang w:val="en-US"/>
      </w:rPr>
      <w:alias w:val="Date"/>
      <w:id w:val="-1503580900"/>
      <w:dataBinding w:prefixMappings="xmlns:ns0='http://schemas.microsoft.com/office/2006/coverPageProps'" w:xpath="/ns0:CoverPageProperties[1]/ns0:PublishDate[1]" w:storeItemID="{55AF091B-3C7A-41E3-B477-F2FDAA23CFDA}"/>
      <w:date>
        <w:dateFormat w:val="MMMM d, yyyy"/>
        <w:lid w:val="en-US"/>
        <w:storeMappedDataAs w:val="dateTime"/>
        <w:calendar w:val="gregorian"/>
      </w:date>
    </w:sdtPr>
    <w:sdtContent>
      <w:p w:rsidR="00322894" w:rsidRPr="00090C43" w:rsidRDefault="00322894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ambria" w:hAnsi="Cambria"/>
            <w:b/>
            <w:sz w:val="18"/>
            <w:szCs w:val="18"/>
            <w:lang w:val="en-US"/>
          </w:rPr>
        </w:pPr>
        <w:r w:rsidRPr="00090C43">
          <w:rPr>
            <w:rFonts w:ascii="Cambria" w:hAnsi="Cambria"/>
            <w:b/>
            <w:sz w:val="18"/>
            <w:szCs w:val="18"/>
            <w:lang w:val="en-US"/>
          </w:rPr>
          <w:t xml:space="preserve">Catolica-Lisbon </w:t>
        </w:r>
        <w:proofErr w:type="spellStart"/>
        <w:r w:rsidRPr="00090C43">
          <w:rPr>
            <w:rFonts w:ascii="Cambria" w:hAnsi="Cambria"/>
            <w:b/>
            <w:sz w:val="18"/>
            <w:szCs w:val="18"/>
            <w:lang w:val="en-US"/>
          </w:rPr>
          <w:t>School</w:t>
        </w:r>
        <w:proofErr w:type="spellEnd"/>
        <w:r w:rsidRPr="00090C43">
          <w:rPr>
            <w:rFonts w:ascii="Cambria" w:hAnsi="Cambria"/>
            <w:b/>
            <w:sz w:val="18"/>
            <w:szCs w:val="18"/>
            <w:lang w:val="en-US"/>
          </w:rPr>
          <w:t xml:space="preserve"> </w:t>
        </w:r>
        <w:proofErr w:type="spellStart"/>
        <w:r w:rsidRPr="00090C43">
          <w:rPr>
            <w:rFonts w:ascii="Cambria" w:hAnsi="Cambria"/>
            <w:b/>
            <w:sz w:val="18"/>
            <w:szCs w:val="18"/>
            <w:lang w:val="en-US"/>
          </w:rPr>
          <w:t>of</w:t>
        </w:r>
        <w:proofErr w:type="spellEnd"/>
        <w:r w:rsidRPr="00090C43">
          <w:rPr>
            <w:rFonts w:ascii="Cambria" w:hAnsi="Cambria"/>
            <w:b/>
            <w:sz w:val="18"/>
            <w:szCs w:val="18"/>
            <w:lang w:val="en-US"/>
          </w:rPr>
          <w:t xml:space="preserve"> </w:t>
        </w:r>
        <w:proofErr w:type="spellStart"/>
        <w:r w:rsidRPr="00090C43">
          <w:rPr>
            <w:rFonts w:ascii="Cambria" w:hAnsi="Cambria"/>
            <w:b/>
            <w:sz w:val="18"/>
            <w:szCs w:val="18"/>
            <w:lang w:val="en-US"/>
          </w:rPr>
          <w:t>Lisbon</w:t>
        </w:r>
        <w:proofErr w:type="spellEnd"/>
        <w:r w:rsidRPr="00090C43">
          <w:rPr>
            <w:rFonts w:ascii="Cambria" w:hAnsi="Cambria"/>
            <w:b/>
            <w:sz w:val="18"/>
            <w:szCs w:val="18"/>
            <w:lang w:val="en-US"/>
          </w:rPr>
          <w:t xml:space="preserve"> </w:t>
        </w:r>
        <w:proofErr w:type="spellStart"/>
        <w:r w:rsidRPr="00090C43">
          <w:rPr>
            <w:rFonts w:ascii="Cambria" w:hAnsi="Cambria"/>
            <w:b/>
            <w:sz w:val="18"/>
            <w:szCs w:val="18"/>
            <w:lang w:val="en-US"/>
          </w:rPr>
          <w:t>and</w:t>
        </w:r>
        <w:proofErr w:type="spellEnd"/>
        <w:r w:rsidRPr="00090C43">
          <w:rPr>
            <w:rFonts w:ascii="Cambria" w:hAnsi="Cambria"/>
            <w:b/>
            <w:sz w:val="18"/>
            <w:szCs w:val="18"/>
            <w:lang w:val="en-US"/>
          </w:rPr>
          <w:t xml:space="preserve"> </w:t>
        </w:r>
        <w:proofErr w:type="spellStart"/>
        <w:r w:rsidRPr="00090C43">
          <w:rPr>
            <w:rFonts w:ascii="Cambria" w:hAnsi="Cambria"/>
            <w:b/>
            <w:sz w:val="18"/>
            <w:szCs w:val="18"/>
            <w:lang w:val="en-US"/>
          </w:rPr>
          <w:t>Economics</w:t>
        </w:r>
        <w:proofErr w:type="spellEnd"/>
      </w:p>
    </w:sdtContent>
  </w:sdt>
  <w:p w:rsidR="00322894" w:rsidRPr="00090C43" w:rsidRDefault="00322894">
    <w:pPr>
      <w:pStyle w:val="Head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12269"/>
    <w:rsid w:val="00090C43"/>
    <w:rsid w:val="001D164A"/>
    <w:rsid w:val="00322894"/>
    <w:rsid w:val="005374E4"/>
    <w:rsid w:val="0060122F"/>
    <w:rsid w:val="00694DCC"/>
    <w:rsid w:val="00704928"/>
    <w:rsid w:val="00B10AB1"/>
    <w:rsid w:val="00B12269"/>
    <w:rsid w:val="00C10E32"/>
    <w:rsid w:val="00C36710"/>
    <w:rsid w:val="00C64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E32"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B12269"/>
  </w:style>
  <w:style w:type="character" w:customStyle="1" w:styleId="FootnoteTextChar">
    <w:name w:val="Footnote Text Char"/>
    <w:basedOn w:val="DefaultParagraphFont"/>
    <w:link w:val="FootnoteText"/>
    <w:uiPriority w:val="99"/>
    <w:rsid w:val="00B12269"/>
    <w:rPr>
      <w:lang w:val="pt-PT"/>
    </w:rPr>
  </w:style>
  <w:style w:type="character" w:styleId="FootnoteReference">
    <w:name w:val="footnote reference"/>
    <w:basedOn w:val="DefaultParagraphFont"/>
    <w:uiPriority w:val="99"/>
    <w:unhideWhenUsed/>
    <w:rsid w:val="00B1226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B12269"/>
  </w:style>
  <w:style w:type="character" w:customStyle="1" w:styleId="EndnoteTextChar">
    <w:name w:val="Endnote Text Char"/>
    <w:basedOn w:val="DefaultParagraphFont"/>
    <w:link w:val="EndnoteText"/>
    <w:uiPriority w:val="99"/>
    <w:rsid w:val="00B12269"/>
    <w:rPr>
      <w:lang w:val="pt-PT"/>
    </w:rPr>
  </w:style>
  <w:style w:type="character" w:styleId="EndnoteReference">
    <w:name w:val="endnote reference"/>
    <w:basedOn w:val="DefaultParagraphFont"/>
    <w:uiPriority w:val="99"/>
    <w:unhideWhenUsed/>
    <w:rsid w:val="00B1226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64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64A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1D164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64A"/>
    <w:rPr>
      <w:lang w:val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64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4A"/>
    <w:rPr>
      <w:rFonts w:ascii="Lucida Grande" w:hAnsi="Lucida Grande" w:cs="Lucida Grande"/>
      <w:sz w:val="18"/>
      <w:szCs w:val="18"/>
      <w:lang w:val="pt-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B12269"/>
  </w:style>
  <w:style w:type="character" w:customStyle="1" w:styleId="FootnoteTextChar">
    <w:name w:val="Footnote Text Char"/>
    <w:basedOn w:val="DefaultParagraphFont"/>
    <w:link w:val="FootnoteText"/>
    <w:uiPriority w:val="99"/>
    <w:rsid w:val="00B12269"/>
    <w:rPr>
      <w:lang w:val="pt-PT"/>
    </w:rPr>
  </w:style>
  <w:style w:type="character" w:styleId="FootnoteReference">
    <w:name w:val="footnote reference"/>
    <w:basedOn w:val="DefaultParagraphFont"/>
    <w:uiPriority w:val="99"/>
    <w:unhideWhenUsed/>
    <w:rsid w:val="00B1226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B12269"/>
  </w:style>
  <w:style w:type="character" w:customStyle="1" w:styleId="EndnoteTextChar">
    <w:name w:val="Endnote Text Char"/>
    <w:basedOn w:val="DefaultParagraphFont"/>
    <w:link w:val="EndnoteText"/>
    <w:uiPriority w:val="99"/>
    <w:rsid w:val="00B12269"/>
    <w:rPr>
      <w:lang w:val="pt-PT"/>
    </w:rPr>
  </w:style>
  <w:style w:type="character" w:styleId="EndnoteReference">
    <w:name w:val="endnote reference"/>
    <w:basedOn w:val="DefaultParagraphFont"/>
    <w:uiPriority w:val="99"/>
    <w:unhideWhenUsed/>
    <w:rsid w:val="00B1226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64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64A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1D164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64A"/>
    <w:rPr>
      <w:lang w:val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64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4A"/>
    <w:rPr>
      <w:rFonts w:ascii="Lucida Grande" w:hAnsi="Lucida Grande" w:cs="Lucida Grande"/>
      <w:sz w:val="18"/>
      <w:szCs w:val="18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70223310FF6B642AE0F9DBB936BB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BF807-7767-D44A-B4ED-33034A3A7E5B}"/>
      </w:docPartPr>
      <w:docPartBody>
        <w:p w:rsidR="00215D6E" w:rsidRDefault="00E41BA2" w:rsidP="00E41BA2">
          <w:pPr>
            <w:pStyle w:val="170223310FF6B642AE0F9DBB936BB00D"/>
          </w:pPr>
          <w:r>
            <w:t>[Type the document title]</w:t>
          </w:r>
        </w:p>
      </w:docPartBody>
    </w:docPart>
    <w:docPart>
      <w:docPartPr>
        <w:name w:val="23E0BC0AFA0D2D40B15C6FD492B05D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10E2B-0762-314D-97A4-404E8EF88C06}"/>
      </w:docPartPr>
      <w:docPartBody>
        <w:p w:rsidR="00215D6E" w:rsidRDefault="00E41BA2" w:rsidP="00E41BA2">
          <w:pPr>
            <w:pStyle w:val="23E0BC0AFA0D2D40B15C6FD492B05DC9"/>
          </w:pPr>
          <w:r>
            <w:t>[Pick the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E41BA2"/>
    <w:rsid w:val="00215D6E"/>
    <w:rsid w:val="007B4D69"/>
    <w:rsid w:val="008D0EC9"/>
    <w:rsid w:val="00E41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E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70223310FF6B642AE0F9DBB936BB00D">
    <w:name w:val="170223310FF6B642AE0F9DBB936BB00D"/>
    <w:rsid w:val="00E41BA2"/>
  </w:style>
  <w:style w:type="paragraph" w:customStyle="1" w:styleId="23E0BC0AFA0D2D40B15C6FD492B05DC9">
    <w:name w:val="23E0BC0AFA0D2D40B15C6FD492B05DC9"/>
    <w:rsid w:val="00E41BA2"/>
  </w:style>
  <w:style w:type="paragraph" w:customStyle="1" w:styleId="06CB4BEC86EDDC4D9A4B4C6212827FBC">
    <w:name w:val="06CB4BEC86EDDC4D9A4B4C6212827FBC"/>
    <w:rsid w:val="00E41BA2"/>
  </w:style>
  <w:style w:type="paragraph" w:customStyle="1" w:styleId="25226FC38017C840A97882A4E547B928">
    <w:name w:val="25226FC38017C840A97882A4E547B928"/>
    <w:rsid w:val="00E41BA2"/>
  </w:style>
  <w:style w:type="paragraph" w:customStyle="1" w:styleId="4F234EEBAE3E5C4793E966860541E457">
    <w:name w:val="4F234EEBAE3E5C4793E966860541E457"/>
    <w:rsid w:val="00E41BA2"/>
  </w:style>
  <w:style w:type="paragraph" w:customStyle="1" w:styleId="4C4C7AB2A16B0C4680E7A9D83CC61AC9">
    <w:name w:val="4C4C7AB2A16B0C4680E7A9D83CC61AC9"/>
    <w:rsid w:val="00E41BA2"/>
  </w:style>
  <w:style w:type="paragraph" w:customStyle="1" w:styleId="2F787DB792280F41B879358A69051E17">
    <w:name w:val="2F787DB792280F41B879358A69051E17"/>
    <w:rsid w:val="00E41BA2"/>
  </w:style>
  <w:style w:type="paragraph" w:customStyle="1" w:styleId="4C98D7B0B3DFBD498FAC6DE1A353BD2E">
    <w:name w:val="4C98D7B0B3DFBD498FAC6DE1A353BD2E"/>
    <w:rsid w:val="00E41BA2"/>
  </w:style>
  <w:style w:type="paragraph" w:customStyle="1" w:styleId="619E3F22BBA87D4DA4203F812FDF68FA">
    <w:name w:val="619E3F22BBA87D4DA4203F812FDF68FA"/>
    <w:rsid w:val="00E41BA2"/>
  </w:style>
  <w:style w:type="paragraph" w:customStyle="1" w:styleId="C48198AF32083343A9819CABB119161B">
    <w:name w:val="C48198AF32083343A9819CABB119161B"/>
    <w:rsid w:val="00E41BA2"/>
  </w:style>
  <w:style w:type="paragraph" w:customStyle="1" w:styleId="8BED2E233413E14A93A0EB6A35FD6C83">
    <w:name w:val="8BED2E233413E14A93A0EB6A35FD6C83"/>
    <w:rsid w:val="00E41BA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Catolica-Lisbon School of Lisbon and Economics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F2D260-86BD-4B06-96E0-F33D8336A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269</Words>
  <Characters>1457</Characters>
  <Application>Microsoft Office Word</Application>
  <DocSecurity>0</DocSecurity>
  <Lines>12</Lines>
  <Paragraphs>3</Paragraphs>
  <ScaleCrop>false</ScaleCrop>
  <Company>Escola Secundária de Palmela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Contabilidade Financeira II – Docente: Profª. Drª. Sílvia Cortês</dc:title>
  <dc:subject/>
  <dc:creator>Miguel Pereira</dc:creator>
  <cp:keywords/>
  <dc:description/>
  <cp:lastModifiedBy>Pedro Ramos</cp:lastModifiedBy>
  <cp:revision>6</cp:revision>
  <dcterms:created xsi:type="dcterms:W3CDTF">2013-05-12T09:38:00Z</dcterms:created>
  <dcterms:modified xsi:type="dcterms:W3CDTF">2013-07-13T12:05:00Z</dcterms:modified>
</cp:coreProperties>
</file>